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102235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07" w:lineRule="exact"/>
        <w:rPr>
          <w:sz w:val="24"/>
          <w:szCs w:val="24"/>
          <w:color w:val="auto"/>
        </w:rPr>
      </w:pPr>
    </w:p>
    <w:p>
      <w:pPr>
        <w:ind w:left="580" w:hanging="561"/>
        <w:spacing w:after="0"/>
        <w:tabs>
          <w:tab w:leader="none" w:pos="5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Quarterly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March 31, 2025</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or</w:t>
      </w:r>
    </w:p>
    <w:p>
      <w:pPr>
        <w:spacing w:after="0" w:line="15" w:lineRule="exact"/>
        <w:rPr>
          <w:sz w:val="24"/>
          <w:szCs w:val="24"/>
          <w:color w:val="auto"/>
        </w:rPr>
      </w:pPr>
    </w:p>
    <w:p>
      <w:pPr>
        <w:ind w:left="20"/>
        <w:spacing w:after="0"/>
        <w:tabs>
          <w:tab w:leader="none" w:pos="5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Transition Report Pursuant to Section 13 or 15(d) of the Securities Exchange Act of 1934</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No. 0-15950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3095625</wp:posOffset>
            </wp:positionH>
            <wp:positionV relativeFrom="paragraph">
              <wp:posOffset>93345</wp:posOffset>
            </wp:positionV>
            <wp:extent cx="983615" cy="323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3615" cy="323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760" w:type="dxa"/>
            <w:vAlign w:val="bottom"/>
            <w:gridSpan w:val="5"/>
          </w:tcPr>
          <w:p>
            <w:pPr>
              <w:jc w:val="center"/>
              <w:ind w:right="120"/>
              <w:spacing w:after="0"/>
              <w:rPr>
                <w:sz w:val="20"/>
                <w:szCs w:val="20"/>
                <w:color w:val="auto"/>
              </w:rPr>
            </w:pPr>
            <w:r>
              <w:rPr>
                <w:rFonts w:ascii="Arial" w:cs="Arial" w:eastAsia="Arial" w:hAnsi="Arial"/>
                <w:sz w:val="20"/>
                <w:szCs w:val="20"/>
                <w:b w:val="1"/>
                <w:bCs w:val="1"/>
                <w:color w:val="auto"/>
                <w:w w:val="98"/>
              </w:rPr>
              <w:t>FIRST BUSEY CORPORATION</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80" w:type="dxa"/>
            <w:vAlign w:val="bottom"/>
            <w:gridSpan w:val="3"/>
          </w:tcPr>
          <w:p>
            <w:pPr>
              <w:jc w:val="center"/>
              <w:ind w:right="780"/>
              <w:spacing w:after="0"/>
              <w:rPr>
                <w:sz w:val="20"/>
                <w:szCs w:val="20"/>
                <w:color w:val="auto"/>
              </w:rPr>
            </w:pPr>
            <w:r>
              <w:rPr>
                <w:rFonts w:ascii="Arial" w:cs="Arial" w:eastAsia="Arial" w:hAnsi="Arial"/>
                <w:sz w:val="10"/>
                <w:szCs w:val="10"/>
                <w:color w:val="auto"/>
                <w:w w:val="99"/>
              </w:rPr>
              <w:t>(Exact name of registrant as specified in its charter)</w:t>
            </w:r>
          </w:p>
        </w:tc>
        <w:tc>
          <w:tcPr>
            <w:tcW w:w="3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3800" w:type="dxa"/>
            <w:vAlign w:val="bottom"/>
          </w:tcPr>
          <w:p>
            <w:pPr>
              <w:jc w:val="center"/>
              <w:ind w:left="1761"/>
              <w:spacing w:after="0"/>
              <w:rPr>
                <w:sz w:val="20"/>
                <w:szCs w:val="20"/>
                <w:color w:val="auto"/>
              </w:rPr>
            </w:pPr>
            <w:r>
              <w:rPr>
                <w:rFonts w:ascii="Arial" w:cs="Arial" w:eastAsia="Arial" w:hAnsi="Arial"/>
                <w:sz w:val="13"/>
                <w:szCs w:val="13"/>
                <w:b w:val="1"/>
                <w:bCs w:val="1"/>
                <w:color w:val="auto"/>
                <w:w w:val="99"/>
              </w:rPr>
              <w:t>Nevada</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00" w:type="dxa"/>
            <w:vAlign w:val="bottom"/>
          </w:tcPr>
          <w:p>
            <w:pPr>
              <w:jc w:val="right"/>
              <w:ind w:right="2422"/>
              <w:spacing w:after="0"/>
              <w:rPr>
                <w:sz w:val="20"/>
                <w:szCs w:val="20"/>
                <w:color w:val="auto"/>
              </w:rPr>
            </w:pPr>
            <w:r>
              <w:rPr>
                <w:rFonts w:ascii="Arial" w:cs="Arial" w:eastAsia="Arial" w:hAnsi="Arial"/>
                <w:sz w:val="13"/>
                <w:szCs w:val="13"/>
                <w:b w:val="1"/>
                <w:bCs w:val="1"/>
                <w:color w:val="auto"/>
              </w:rPr>
              <w:t>37-1078406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gridSpan w:val="6"/>
          </w:tcPr>
          <w:p>
            <w:pPr>
              <w:jc w:val="center"/>
              <w:ind w:right="1940"/>
              <w:spacing w:after="0"/>
              <w:rPr>
                <w:sz w:val="20"/>
                <w:szCs w:val="20"/>
                <w:color w:val="auto"/>
              </w:rPr>
            </w:pPr>
            <w:r>
              <w:rPr>
                <w:rFonts w:ascii="Arial" w:cs="Arial" w:eastAsia="Arial" w:hAnsi="Arial"/>
                <w:sz w:val="10"/>
                <w:szCs w:val="10"/>
                <w:color w:val="auto"/>
                <w:w w:val="98"/>
              </w:rPr>
              <w:t>(State or other jurisdiction of incorporation or organization)</w:t>
            </w:r>
          </w:p>
        </w:tc>
        <w:tc>
          <w:tcPr>
            <w:tcW w:w="3700" w:type="dxa"/>
            <w:vAlign w:val="bottom"/>
          </w:tcPr>
          <w:p>
            <w:pPr>
              <w:jc w:val="center"/>
              <w:ind w:right="1882"/>
              <w:spacing w:after="0"/>
              <w:rPr>
                <w:sz w:val="20"/>
                <w:szCs w:val="20"/>
                <w:color w:val="auto"/>
              </w:rPr>
            </w:pPr>
            <w:r>
              <w:rPr>
                <w:rFonts w:ascii="Arial" w:cs="Arial" w:eastAsia="Arial" w:hAnsi="Arial"/>
                <w:sz w:val="10"/>
                <w:szCs w:val="10"/>
                <w:color w:val="auto"/>
                <w:w w:val="98"/>
              </w:rPr>
              <w:t>(I.R.S. Employer Identification No.)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tcPr>
          <w:p>
            <w:pPr>
              <w:jc w:val="center"/>
              <w:ind w:left="1761"/>
              <w:spacing w:after="0" w:line="138" w:lineRule="exact"/>
              <w:rPr>
                <w:sz w:val="20"/>
                <w:szCs w:val="20"/>
                <w:color w:val="auto"/>
              </w:rPr>
            </w:pPr>
            <w:r>
              <w:rPr>
                <w:rFonts w:ascii="Arial" w:cs="Arial" w:eastAsia="Arial" w:hAnsi="Arial"/>
                <w:sz w:val="13"/>
                <w:szCs w:val="13"/>
                <w:b w:val="1"/>
                <w:bCs w:val="1"/>
                <w:color w:val="auto"/>
                <w:w w:val="97"/>
              </w:rPr>
              <w:t>11440 Tomahawk Creek Parkway</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00" w:type="dxa"/>
            <w:vAlign w:val="bottom"/>
            <w:vMerge w:val="restart"/>
          </w:tcPr>
          <w:p>
            <w:pPr>
              <w:jc w:val="right"/>
              <w:ind w:right="2582"/>
              <w:spacing w:after="0"/>
              <w:rPr>
                <w:sz w:val="20"/>
                <w:szCs w:val="20"/>
                <w:color w:val="auto"/>
              </w:rPr>
            </w:pPr>
            <w:r>
              <w:rPr>
                <w:rFonts w:ascii="Arial" w:cs="Arial" w:eastAsia="Arial" w:hAnsi="Arial"/>
                <w:sz w:val="13"/>
                <w:szCs w:val="13"/>
                <w:b w:val="1"/>
                <w:bCs w:val="1"/>
                <w:color w:val="auto"/>
              </w:rPr>
              <w:t>66211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00" w:type="dxa"/>
            <w:vAlign w:val="bottom"/>
          </w:tcPr>
          <w:p>
            <w:pPr>
              <w:jc w:val="center"/>
              <w:ind w:left="1741"/>
              <w:spacing w:after="0"/>
              <w:rPr>
                <w:sz w:val="20"/>
                <w:szCs w:val="20"/>
                <w:color w:val="auto"/>
              </w:rPr>
            </w:pPr>
            <w:r>
              <w:rPr>
                <w:rFonts w:ascii="Arial" w:cs="Arial" w:eastAsia="Arial" w:hAnsi="Arial"/>
                <w:sz w:val="13"/>
                <w:szCs w:val="13"/>
                <w:b w:val="1"/>
                <w:bCs w:val="1"/>
                <w:color w:val="auto"/>
                <w:w w:val="98"/>
              </w:rPr>
              <w:t>Leawood, Kansas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0" w:type="dxa"/>
            <w:vAlign w:val="bottom"/>
          </w:tcPr>
          <w:p>
            <w:pPr>
              <w:jc w:val="center"/>
              <w:ind w:left="1761"/>
              <w:spacing w:after="0"/>
              <w:rPr>
                <w:sz w:val="20"/>
                <w:szCs w:val="20"/>
                <w:color w:val="auto"/>
              </w:rPr>
            </w:pPr>
            <w:r>
              <w:rPr>
                <w:rFonts w:ascii="Arial" w:cs="Arial" w:eastAsia="Arial" w:hAnsi="Arial"/>
                <w:sz w:val="10"/>
                <w:szCs w:val="10"/>
                <w:color w:val="auto"/>
                <w:w w:val="99"/>
              </w:rPr>
              <w:t>(Address of principal executive offices)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00" w:type="dxa"/>
            <w:vAlign w:val="bottom"/>
          </w:tcPr>
          <w:p>
            <w:pPr>
              <w:jc w:val="center"/>
              <w:ind w:right="1882"/>
              <w:spacing w:after="0"/>
              <w:rPr>
                <w:sz w:val="20"/>
                <w:szCs w:val="20"/>
                <w:color w:val="auto"/>
              </w:rPr>
            </w:pPr>
            <w:r>
              <w:rPr>
                <w:rFonts w:ascii="Arial" w:cs="Arial" w:eastAsia="Arial" w:hAnsi="Arial"/>
                <w:sz w:val="10"/>
                <w:szCs w:val="10"/>
                <w:color w:val="auto"/>
                <w:w w:val="97"/>
              </w:rPr>
              <w:t>(Zip code)</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60" w:type="dxa"/>
            <w:vAlign w:val="bottom"/>
            <w:gridSpan w:val="5"/>
          </w:tcPr>
          <w:p>
            <w:pPr>
              <w:jc w:val="center"/>
              <w:ind w:right="100"/>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2"/>
                <w:szCs w:val="12"/>
                <w:b w:val="1"/>
                <w:bCs w:val="1"/>
                <w:color w:val="auto"/>
              </w:rPr>
              <w:t>(217) 365-4544</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760" w:type="dxa"/>
            <w:vAlign w:val="bottom"/>
            <w:gridSpan w:val="5"/>
          </w:tcPr>
          <w:p>
            <w:pPr>
              <w:jc w:val="center"/>
              <w:ind w:right="120"/>
              <w:spacing w:after="0"/>
              <w:rPr>
                <w:sz w:val="20"/>
                <w:szCs w:val="20"/>
                <w:color w:val="auto"/>
              </w:rPr>
            </w:pPr>
            <w:r>
              <w:rPr>
                <w:rFonts w:ascii="Arial" w:cs="Arial" w:eastAsia="Arial" w:hAnsi="Arial"/>
                <w:sz w:val="13"/>
                <w:szCs w:val="13"/>
                <w:color w:val="auto"/>
                <w:w w:val="97"/>
              </w:rPr>
              <w:t>100 West University Avenue, Champaign, Illinois 61820</w:t>
            </w: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760" w:type="dxa"/>
            <w:vAlign w:val="bottom"/>
            <w:gridSpan w:val="5"/>
          </w:tcPr>
          <w:p>
            <w:pPr>
              <w:jc w:val="center"/>
              <w:ind w:right="100"/>
              <w:spacing w:after="0"/>
              <w:rPr>
                <w:sz w:val="20"/>
                <w:szCs w:val="20"/>
                <w:color w:val="auto"/>
              </w:rPr>
            </w:pPr>
            <w:r>
              <w:rPr>
                <w:rFonts w:ascii="Arial" w:cs="Arial" w:eastAsia="Arial" w:hAnsi="Arial"/>
                <w:sz w:val="10"/>
                <w:szCs w:val="10"/>
                <w:color w:val="auto"/>
                <w:w w:val="98"/>
              </w:rPr>
              <w:t>(Former name, former address, and former fiscal year, if changed since last report)</w:t>
            </w:r>
          </w:p>
        </w:tc>
        <w:tc>
          <w:tcPr>
            <w:tcW w:w="3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7"/>
        </w:trPr>
        <w:tc>
          <w:tcPr>
            <w:tcW w:w="382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00" w:type="dxa"/>
            <w:vAlign w:val="bottom"/>
          </w:tcPr>
          <w:p>
            <w:pPr>
              <w:jc w:val="center"/>
              <w:ind w:left="521"/>
              <w:spacing w:after="0"/>
              <w:rPr>
                <w:sz w:val="20"/>
                <w:szCs w:val="20"/>
                <w:color w:val="auto"/>
              </w:rPr>
            </w:pPr>
            <w:r>
              <w:rPr>
                <w:rFonts w:ascii="Arial" w:cs="Arial" w:eastAsia="Arial" w:hAnsi="Arial"/>
                <w:sz w:val="11"/>
                <w:szCs w:val="11"/>
                <w:b w:val="1"/>
                <w:bCs w:val="1"/>
                <w:color w:val="auto"/>
              </w:rPr>
              <w:t>Title of each class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80" w:type="dxa"/>
            <w:vAlign w:val="bottom"/>
            <w:gridSpan w:val="3"/>
          </w:tcPr>
          <w:p>
            <w:pPr>
              <w:jc w:val="center"/>
              <w:ind w:right="800"/>
              <w:spacing w:after="0"/>
              <w:rPr>
                <w:sz w:val="20"/>
                <w:szCs w:val="20"/>
                <w:color w:val="auto"/>
              </w:rPr>
            </w:pPr>
            <w:r>
              <w:rPr>
                <w:rFonts w:ascii="Arial" w:cs="Arial" w:eastAsia="Arial" w:hAnsi="Arial"/>
                <w:sz w:val="11"/>
                <w:szCs w:val="11"/>
                <w:b w:val="1"/>
                <w:bCs w:val="1"/>
                <w:color w:val="auto"/>
              </w:rPr>
              <w:t>Trading Symbol (s)</w:t>
            </w:r>
          </w:p>
        </w:tc>
        <w:tc>
          <w:tcPr>
            <w:tcW w:w="3700" w:type="dxa"/>
            <w:vAlign w:val="bottom"/>
          </w:tcPr>
          <w:p>
            <w:pPr>
              <w:jc w:val="center"/>
              <w:ind w:right="642"/>
              <w:spacing w:after="0"/>
              <w:rPr>
                <w:sz w:val="20"/>
                <w:szCs w:val="20"/>
                <w:color w:val="auto"/>
              </w:rPr>
            </w:pPr>
            <w:r>
              <w:rPr>
                <w:rFonts w:ascii="Arial" w:cs="Arial" w:eastAsia="Arial" w:hAnsi="Arial"/>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00" w:type="dxa"/>
            <w:vAlign w:val="bottom"/>
            <w:tcBorders>
              <w:top w:val="single" w:sz="8" w:color="auto"/>
            </w:tcBorders>
          </w:tcPr>
          <w:p>
            <w:pPr>
              <w:jc w:val="center"/>
              <w:ind w:left="521"/>
              <w:spacing w:after="0"/>
              <w:rPr>
                <w:sz w:val="20"/>
                <w:szCs w:val="20"/>
                <w:color w:val="auto"/>
              </w:rPr>
            </w:pPr>
            <w:r>
              <w:rPr>
                <w:rFonts w:ascii="Arial" w:cs="Arial" w:eastAsia="Arial" w:hAnsi="Arial"/>
                <w:sz w:val="13"/>
                <w:szCs w:val="13"/>
                <w:color w:val="auto"/>
                <w:w w:val="98"/>
              </w:rPr>
              <w:t>Common Stock, $0.001 par value</w:t>
            </w: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BUSE</w:t>
            </w: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700" w:type="dxa"/>
            <w:vAlign w:val="bottom"/>
            <w:tcBorders>
              <w:top w:val="single" w:sz="8" w:color="auto"/>
            </w:tcBorders>
          </w:tcPr>
          <w:p>
            <w:pPr>
              <w:jc w:val="center"/>
              <w:ind w:right="662"/>
              <w:spacing w:after="0"/>
              <w:rPr>
                <w:sz w:val="20"/>
                <w:szCs w:val="20"/>
                <w:color w:val="auto"/>
              </w:rPr>
            </w:pPr>
            <w:r>
              <w:rPr>
                <w:rFonts w:ascii="Arial" w:cs="Arial" w:eastAsia="Arial" w:hAnsi="Arial"/>
                <w:sz w:val="13"/>
                <w:szCs w:val="13"/>
                <w:color w:val="auto"/>
                <w:w w:val="97"/>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both"/>
        <w:spacing w:after="0" w:line="16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Wingdings" w:cs="Wingdings" w:eastAsia="Wingdings" w:hAnsi="Wingdings"/>
          <w:sz w:val="14"/>
          <w:szCs w:val="14"/>
          <w:b w:val="1"/>
          <w:bCs w:val="1"/>
          <w:color w:val="auto"/>
        </w:rPr>
        <w:t>o</w:t>
      </w:r>
    </w:p>
    <w:p>
      <w:pPr>
        <w:spacing w:after="0" w:line="53" w:lineRule="exact"/>
        <w:rPr>
          <w:sz w:val="24"/>
          <w:szCs w:val="24"/>
          <w:color w:val="auto"/>
        </w:rPr>
      </w:pPr>
    </w:p>
    <w:p>
      <w:pPr>
        <w:jc w:val="both"/>
        <w:spacing w:after="0" w:line="16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Wingdings" w:cs="Wingdings" w:eastAsia="Wingdings" w:hAnsi="Wingdings"/>
          <w:sz w:val="14"/>
          <w:szCs w:val="14"/>
          <w:b w:val="1"/>
          <w:bCs w:val="1"/>
          <w:color w:val="auto"/>
        </w:rPr>
        <w:t>o</w:t>
      </w:r>
    </w:p>
    <w:p>
      <w:pPr>
        <w:spacing w:after="0" w:line="53" w:lineRule="exact"/>
        <w:rPr>
          <w:sz w:val="24"/>
          <w:szCs w:val="24"/>
          <w:color w:val="auto"/>
        </w:rPr>
      </w:pPr>
    </w:p>
    <w:p>
      <w:pPr>
        <w:jc w:val="both"/>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263" w:right="319" w:bottom="1440" w:gutter="0" w:footer="0" w:header="0"/>
        </w:sectPr>
      </w:pPr>
    </w:p>
    <w:p>
      <w:pPr>
        <w:spacing w:after="0" w:line="80" w:lineRule="exact"/>
        <w:rPr>
          <w:sz w:val="24"/>
          <w:szCs w:val="24"/>
          <w:color w:val="auto"/>
        </w:rPr>
      </w:pPr>
    </w:p>
    <w:p>
      <w:pPr>
        <w:ind w:left="28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76" w:lineRule="exact"/>
        <w:rPr>
          <w:sz w:val="24"/>
          <w:szCs w:val="24"/>
          <w:color w:val="auto"/>
        </w:rPr>
      </w:pPr>
    </w:p>
    <w:p>
      <w:pPr>
        <w:sectPr>
          <w:pgSz w:w="11900" w:h="16838" w:orient="portrait"/>
          <w:cols w:equalWidth="0" w:num="3">
            <w:col w:w="3240" w:space="720"/>
            <w:col w:w="2940" w:space="720"/>
            <w:col w:w="3660"/>
          </w:cols>
          <w:pgMar w:left="300" w:top="263" w:right="319" w:bottom="1440" w:gutter="0" w:footer="0" w:header="0"/>
          <w:type w:val="continuous"/>
        </w:sectPr>
      </w:pPr>
    </w:p>
    <w:p>
      <w:pPr>
        <w:ind w:left="280"/>
        <w:spacing w:after="0" w:line="13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65" w:lineRule="exact"/>
        <w:rPr>
          <w:sz w:val="24"/>
          <w:szCs w:val="24"/>
          <w:color w:val="auto"/>
        </w:rPr>
      </w:pPr>
    </w:p>
    <w:p>
      <w:pPr>
        <w:sectPr>
          <w:pgSz w:w="11900" w:h="16838" w:orient="portrait"/>
          <w:cols w:equalWidth="0" w:num="2">
            <w:col w:w="3240" w:space="720"/>
            <w:col w:w="7320"/>
          </w:cols>
          <w:pgMar w:left="300" w:top="263" w:right="319" w:bottom="1440" w:gutter="0" w:footer="0" w:header="0"/>
          <w:type w:val="continuous"/>
        </w:sectPr>
      </w:pPr>
    </w:p>
    <w:p>
      <w:pPr>
        <w:spacing w:after="0" w:line="235" w:lineRule="auto"/>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3" w:lineRule="exact"/>
        <w:rPr>
          <w:sz w:val="24"/>
          <w:szCs w:val="24"/>
          <w:color w:val="auto"/>
        </w:rPr>
      </w:pPr>
    </w:p>
    <w:p>
      <w:pPr>
        <w:ind w:right="4100"/>
        <w:spacing w:after="0" w:line="229"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Wingdings" w:cs="Wingdings" w:eastAsia="Wingdings" w:hAnsi="Wingdings"/>
          <w:sz w:val="13"/>
          <w:szCs w:val="13"/>
          <w:b w:val="1"/>
          <w:bCs w:val="1"/>
          <w:color w:val="auto"/>
        </w:rPr>
        <w:t>o</w:t>
      </w:r>
      <w:r>
        <w:rPr>
          <w:rFonts w:ascii="Arial" w:cs="Arial" w:eastAsia="Arial" w:hAnsi="Arial"/>
          <w:sz w:val="12"/>
          <w:szCs w:val="12"/>
          <w:color w:val="auto"/>
        </w:rPr>
        <w:t xml:space="preserve"> No </w:t>
      </w:r>
      <w:r>
        <w:rPr>
          <w:rFonts w:ascii="MS PGothic" w:cs="MS PGothic" w:eastAsia="MS PGothic" w:hAnsi="MS PGothic"/>
          <w:sz w:val="13"/>
          <w:szCs w:val="13"/>
          <w:color w:val="auto"/>
        </w:rPr>
        <w:t>☑</w:t>
      </w:r>
      <w:r>
        <w:rPr>
          <w:rFonts w:ascii="Arial" w:cs="Arial" w:eastAsia="Arial" w:hAnsi="Arial"/>
          <w:sz w:val="12"/>
          <w:szCs w:val="12"/>
          <w:color w:val="auto"/>
        </w:rPr>
        <w:t xml:space="preserve"> Indicate the number of shares outstanding of each of the issuer’s classes of common stock, as of the latest practicable date.</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Class</w:t>
            </w:r>
          </w:p>
        </w:tc>
        <w:tc>
          <w:tcPr>
            <w:tcW w:w="5600" w:type="dxa"/>
            <w:vAlign w:val="bottom"/>
            <w:gridSpan w:val="2"/>
          </w:tcPr>
          <w:p>
            <w:pPr>
              <w:jc w:val="center"/>
              <w:ind w:right="900"/>
              <w:spacing w:after="0"/>
              <w:rPr>
                <w:sz w:val="20"/>
                <w:szCs w:val="20"/>
                <w:color w:val="auto"/>
              </w:rPr>
            </w:pPr>
            <w:r>
              <w:rPr>
                <w:rFonts w:ascii="Arial" w:cs="Arial" w:eastAsia="Arial" w:hAnsi="Arial"/>
                <w:sz w:val="11"/>
                <w:szCs w:val="11"/>
                <w:b w:val="1"/>
                <w:bCs w:val="1"/>
                <w:color w:val="auto"/>
              </w:rPr>
              <w:t>Outstanding at May 8, 2025</w:t>
            </w: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Common Stock, $.001 par value</w:t>
            </w:r>
          </w:p>
        </w:tc>
        <w:tc>
          <w:tcPr>
            <w:tcW w:w="80" w:type="dxa"/>
            <w:vAlign w:val="bottom"/>
          </w:tcPr>
          <w:p>
            <w:pPr>
              <w:spacing w:after="0"/>
              <w:rPr>
                <w:sz w:val="13"/>
                <w:szCs w:val="13"/>
                <w:color w:val="auto"/>
              </w:rPr>
            </w:pPr>
          </w:p>
        </w:tc>
        <w:tc>
          <w:tcPr>
            <w:tcW w:w="4700" w:type="dxa"/>
            <w:vAlign w:val="bottom"/>
            <w:tcBorders>
              <w:top w:val="single" w:sz="8" w:color="auto"/>
            </w:tcBorders>
          </w:tcPr>
          <w:p>
            <w:pPr>
              <w:jc w:val="right"/>
              <w:ind w:right="1980"/>
              <w:spacing w:after="0"/>
              <w:rPr>
                <w:sz w:val="20"/>
                <w:szCs w:val="20"/>
                <w:color w:val="auto"/>
              </w:rPr>
            </w:pPr>
            <w:r>
              <w:rPr>
                <w:rFonts w:ascii="Arial" w:cs="Arial" w:eastAsia="Arial" w:hAnsi="Arial"/>
                <w:sz w:val="13"/>
                <w:szCs w:val="13"/>
                <w:color w:val="auto"/>
              </w:rPr>
              <w:t>89,490,547</w:t>
            </w:r>
          </w:p>
        </w:tc>
        <w:tc>
          <w:tcPr>
            <w:tcW w:w="90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67"/>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240" w:type="dxa"/>
            <w:vAlign w:val="bottom"/>
            <w:gridSpan w:val="11"/>
          </w:tcPr>
          <w:p>
            <w:pPr>
              <w:spacing w:after="0"/>
              <w:rPr>
                <w:sz w:val="20"/>
                <w:szCs w:val="20"/>
                <w:color w:val="auto"/>
              </w:rPr>
            </w:pPr>
            <w:r>
              <w:rPr>
                <w:rFonts w:ascii="Arial" w:cs="Arial" w:eastAsia="Arial" w:hAnsi="Arial"/>
                <w:sz w:val="14"/>
                <w:szCs w:val="14"/>
                <w:color w:val="0000FF"/>
              </w:rPr>
              <w:t>Table of Contents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782"/>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40" w:type="dxa"/>
            <w:vAlign w:val="bottom"/>
            <w:gridSpan w:val="13"/>
          </w:tcPr>
          <w:p>
            <w:pPr>
              <w:jc w:val="center"/>
              <w:ind w:right="2520"/>
              <w:spacing w:after="0"/>
              <w:rPr>
                <w:sz w:val="20"/>
                <w:szCs w:val="20"/>
                <w:color w:val="auto"/>
              </w:rPr>
            </w:pPr>
            <w:r>
              <w:rPr>
                <w:rFonts w:ascii="Arial" w:cs="Arial" w:eastAsia="Arial" w:hAnsi="Arial"/>
                <w:sz w:val="14"/>
                <w:szCs w:val="14"/>
                <w:b w:val="1"/>
                <w:bCs w:val="1"/>
                <w:color w:val="auto"/>
              </w:rPr>
              <w:t>FIRST BUSEY CORPORATION</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700" w:type="dxa"/>
            <w:vAlign w:val="bottom"/>
            <w:gridSpan w:val="11"/>
          </w:tcPr>
          <w:p>
            <w:pPr>
              <w:jc w:val="center"/>
              <w:ind w:right="3380"/>
              <w:spacing w:after="0"/>
              <w:rPr>
                <w:sz w:val="20"/>
                <w:szCs w:val="20"/>
                <w:color w:val="auto"/>
              </w:rPr>
            </w:pPr>
            <w:r>
              <w:rPr>
                <w:rFonts w:ascii="Arial" w:cs="Arial" w:eastAsia="Arial" w:hAnsi="Arial"/>
                <w:sz w:val="14"/>
                <w:szCs w:val="14"/>
                <w:b w:val="1"/>
                <w:bCs w:val="1"/>
                <w:color w:val="auto"/>
                <w:w w:val="99"/>
              </w:rPr>
              <w:t>FORM 10-Q</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700" w:type="dxa"/>
            <w:vAlign w:val="bottom"/>
            <w:gridSpan w:val="11"/>
          </w:tcPr>
          <w:p>
            <w:pPr>
              <w:jc w:val="center"/>
              <w:ind w:right="3380"/>
              <w:spacing w:after="0"/>
              <w:rPr>
                <w:sz w:val="20"/>
                <w:szCs w:val="20"/>
                <w:color w:val="auto"/>
              </w:rPr>
            </w:pPr>
            <w:r>
              <w:rPr>
                <w:rFonts w:ascii="Arial" w:cs="Arial" w:eastAsia="Arial" w:hAnsi="Arial"/>
                <w:sz w:val="14"/>
                <w:szCs w:val="14"/>
                <w:b w:val="1"/>
                <w:bCs w:val="1"/>
                <w:color w:val="auto"/>
              </w:rPr>
              <w:t>March 31, 2025</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gridSpan w:val="11"/>
          </w:tcPr>
          <w:p>
            <w:pPr>
              <w:jc w:val="center"/>
              <w:ind w:right="3360"/>
              <w:spacing w:after="0"/>
              <w:rPr>
                <w:sz w:val="20"/>
                <w:szCs w:val="20"/>
                <w:color w:val="auto"/>
              </w:rPr>
            </w:pPr>
            <w:r>
              <w:rPr>
                <w:rFonts w:ascii="Arial" w:cs="Arial" w:eastAsia="Arial" w:hAnsi="Arial"/>
                <w:sz w:val="14"/>
                <w:szCs w:val="14"/>
                <w:b w:val="1"/>
                <w:bCs w:val="1"/>
                <w:color w:val="auto"/>
                <w:w w:val="99"/>
              </w:rPr>
              <w:t>Table of Contents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3"/>
        </w:trPr>
        <w:tc>
          <w:tcPr>
            <w:tcW w:w="20" w:type="dxa"/>
            <w:vAlign w:val="bottom"/>
          </w:tcPr>
          <w:p>
            <w:pPr>
              <w:spacing w:after="0"/>
              <w:rPr>
                <w:sz w:val="24"/>
                <w:szCs w:val="24"/>
                <w:color w:val="auto"/>
              </w:rPr>
            </w:pPr>
          </w:p>
        </w:tc>
        <w:tc>
          <w:tcPr>
            <w:tcW w:w="780" w:type="dxa"/>
            <w:vAlign w:val="bottom"/>
            <w:gridSpan w:val="7"/>
          </w:tcPr>
          <w:p>
            <w:pPr>
              <w:spacing w:after="0"/>
              <w:rPr>
                <w:sz w:val="20"/>
                <w:szCs w:val="20"/>
                <w:color w:val="auto"/>
              </w:rPr>
            </w:pPr>
            <w:r>
              <w:rPr>
                <w:rFonts w:ascii="Arial" w:cs="Arial" w:eastAsia="Arial" w:hAnsi="Arial"/>
                <w:sz w:val="14"/>
                <w:szCs w:val="14"/>
                <w:color w:val="0000FF"/>
                <w:w w:val="98"/>
              </w:rPr>
              <w:t>GLOSSARY</w:t>
            </w:r>
          </w:p>
        </w:tc>
        <w:tc>
          <w:tcPr>
            <w:tcW w:w="4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3</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0000FF"/>
                <w:w w:val="92"/>
              </w:rPr>
              <w:t>PART I</w:t>
            </w:r>
          </w:p>
        </w:tc>
        <w:tc>
          <w:tcPr>
            <w:tcW w:w="340" w:type="dxa"/>
            <w:vAlign w:val="bottom"/>
            <w:gridSpan w:val="5"/>
          </w:tcPr>
          <w:p>
            <w:pPr>
              <w:spacing w:after="0"/>
              <w:rPr>
                <w:sz w:val="24"/>
                <w:szCs w:val="24"/>
                <w:color w:val="auto"/>
              </w:rPr>
            </w:pPr>
          </w:p>
        </w:tc>
        <w:tc>
          <w:tcPr>
            <w:tcW w:w="4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8300" w:type="dxa"/>
            <w:vAlign w:val="bottom"/>
            <w:gridSpan w:val="31"/>
          </w:tcPr>
          <w:p>
            <w:pPr>
              <w:spacing w:after="0"/>
              <w:rPr>
                <w:sz w:val="20"/>
                <w:szCs w:val="20"/>
                <w:color w:val="auto"/>
              </w:rPr>
            </w:pPr>
            <w:r>
              <w:rPr>
                <w:rFonts w:ascii="Arial" w:cs="Arial" w:eastAsia="Arial" w:hAnsi="Arial"/>
                <w:sz w:val="14"/>
                <w:szCs w:val="14"/>
                <w:color w:val="0000FF"/>
              </w:rPr>
              <w:t>FINANCIAL INFORMATION</w:t>
            </w: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5</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3"/>
          </w:tcPr>
          <w:p>
            <w:pPr>
              <w:spacing w:after="0"/>
              <w:rPr>
                <w:sz w:val="20"/>
                <w:szCs w:val="20"/>
                <w:color w:val="auto"/>
              </w:rPr>
            </w:pPr>
            <w:r>
              <w:rPr>
                <w:rFonts w:ascii="Arial" w:cs="Arial" w:eastAsia="Arial" w:hAnsi="Arial"/>
                <w:sz w:val="14"/>
                <w:szCs w:val="14"/>
                <w:color w:val="0000FF"/>
                <w:w w:val="98"/>
              </w:rPr>
              <w:t>Item 1.</w:t>
            </w:r>
          </w:p>
        </w:tc>
        <w:tc>
          <w:tcPr>
            <w:tcW w:w="66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9"/>
          </w:tcPr>
          <w:p>
            <w:pPr>
              <w:spacing w:after="0"/>
              <w:rPr>
                <w:sz w:val="20"/>
                <w:szCs w:val="20"/>
                <w:color w:val="auto"/>
              </w:rPr>
            </w:pPr>
            <w:r>
              <w:rPr>
                <w:rFonts w:ascii="Arial" w:cs="Arial" w:eastAsia="Arial" w:hAnsi="Arial"/>
                <w:sz w:val="14"/>
                <w:szCs w:val="14"/>
                <w:color w:val="0000FF"/>
                <w:w w:val="96"/>
              </w:rPr>
              <w:t>FINANCIAL STATEMENTS</w:t>
            </w:r>
          </w:p>
        </w:tc>
        <w:tc>
          <w:tcPr>
            <w:tcW w:w="6600" w:type="dxa"/>
            <w:vAlign w:val="bottom"/>
            <w:gridSpan w:val="2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160" w:type="dxa"/>
            <w:vAlign w:val="bottom"/>
            <w:gridSpan w:val="30"/>
          </w:tcPr>
          <w:p>
            <w:pPr>
              <w:spacing w:after="0"/>
              <w:rPr>
                <w:sz w:val="20"/>
                <w:szCs w:val="20"/>
                <w:color w:val="auto"/>
              </w:rPr>
            </w:pPr>
            <w:r>
              <w:rPr>
                <w:rFonts w:ascii="Arial" w:cs="Arial" w:eastAsia="Arial" w:hAnsi="Arial"/>
                <w:sz w:val="14"/>
                <w:szCs w:val="14"/>
                <w:color w:val="0000FF"/>
              </w:rPr>
              <w:t>CONSOLIDATED BALANCE SHEETS (Unaudited)</w:t>
            </w: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gridSpan w:val="23"/>
          </w:tcPr>
          <w:p>
            <w:pPr>
              <w:spacing w:after="0"/>
              <w:rPr>
                <w:sz w:val="20"/>
                <w:szCs w:val="20"/>
                <w:color w:val="auto"/>
              </w:rPr>
            </w:pPr>
            <w:r>
              <w:rPr>
                <w:rFonts w:ascii="Arial" w:cs="Arial" w:eastAsia="Arial" w:hAnsi="Arial"/>
                <w:sz w:val="14"/>
                <w:szCs w:val="14"/>
                <w:color w:val="0000FF"/>
                <w:w w:val="99"/>
              </w:rPr>
              <w:t>CONSOLIDATED STATEMENTS OF INCOME (LOSS) (Unaudited)</w:t>
            </w:r>
          </w:p>
        </w:tc>
        <w:tc>
          <w:tcPr>
            <w:tcW w:w="3960" w:type="dxa"/>
            <w:vAlign w:val="bottom"/>
            <w:gridSpan w:val="7"/>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160" w:type="dxa"/>
            <w:vAlign w:val="bottom"/>
            <w:gridSpan w:val="30"/>
          </w:tcPr>
          <w:p>
            <w:pPr>
              <w:spacing w:after="0"/>
              <w:rPr>
                <w:sz w:val="20"/>
                <w:szCs w:val="20"/>
                <w:color w:val="auto"/>
              </w:rPr>
            </w:pPr>
            <w:r>
              <w:rPr>
                <w:rFonts w:ascii="Arial" w:cs="Arial" w:eastAsia="Arial" w:hAnsi="Arial"/>
                <w:sz w:val="14"/>
                <w:szCs w:val="14"/>
                <w:color w:val="0000FF"/>
              </w:rPr>
              <w:t>CONSOLIDATED STATEMENTS OF COMPREHENSIVE INCOME (Unaudited)</w:t>
            </w: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gridSpan w:val="27"/>
          </w:tcPr>
          <w:p>
            <w:pPr>
              <w:spacing w:after="0"/>
              <w:rPr>
                <w:sz w:val="20"/>
                <w:szCs w:val="20"/>
                <w:color w:val="auto"/>
              </w:rPr>
            </w:pPr>
            <w:r>
              <w:rPr>
                <w:rFonts w:ascii="Arial" w:cs="Arial" w:eastAsia="Arial" w:hAnsi="Arial"/>
                <w:sz w:val="14"/>
                <w:szCs w:val="14"/>
                <w:color w:val="0000FF"/>
              </w:rPr>
              <w:t>CONSOLIDATED STATEMENTS OF STOCKHOLDERS’ EQUITY (Unaudited)</w:t>
            </w:r>
          </w:p>
        </w:tc>
        <w:tc>
          <w:tcPr>
            <w:tcW w:w="3200" w:type="dxa"/>
            <w:vAlign w:val="bottom"/>
            <w:gridSpan w:val="3"/>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60" w:type="dxa"/>
            <w:vAlign w:val="bottom"/>
            <w:gridSpan w:val="22"/>
          </w:tcPr>
          <w:p>
            <w:pPr>
              <w:spacing w:after="0"/>
              <w:rPr>
                <w:sz w:val="20"/>
                <w:szCs w:val="20"/>
                <w:color w:val="auto"/>
              </w:rPr>
            </w:pPr>
            <w:r>
              <w:rPr>
                <w:rFonts w:ascii="Arial" w:cs="Arial" w:eastAsia="Arial" w:hAnsi="Arial"/>
                <w:sz w:val="14"/>
                <w:szCs w:val="14"/>
                <w:color w:val="0000FF"/>
                <w:w w:val="99"/>
              </w:rPr>
              <w:t>CONSOLIDATED STATEMENTS OF CASH FLOWS (Unaudited)</w:t>
            </w:r>
          </w:p>
        </w:tc>
        <w:tc>
          <w:tcPr>
            <w:tcW w:w="820" w:type="dxa"/>
            <w:vAlign w:val="bottom"/>
            <w:gridSpan w:val="4"/>
          </w:tcPr>
          <w:p>
            <w:pPr>
              <w:spacing w:after="0"/>
              <w:rPr>
                <w:sz w:val="16"/>
                <w:szCs w:val="16"/>
                <w:color w:val="auto"/>
              </w:rPr>
            </w:pPr>
          </w:p>
        </w:tc>
        <w:tc>
          <w:tcPr>
            <w:tcW w:w="3280" w:type="dxa"/>
            <w:vAlign w:val="bottom"/>
            <w:gridSpan w:val="4"/>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10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0" w:type="dxa"/>
            <w:vAlign w:val="bottom"/>
            <w:gridSpan w:val="25"/>
          </w:tcPr>
          <w:p>
            <w:pPr>
              <w:spacing w:after="0"/>
              <w:rPr>
                <w:sz w:val="20"/>
                <w:szCs w:val="20"/>
                <w:color w:val="auto"/>
              </w:rPr>
            </w:pPr>
            <w:r>
              <w:rPr>
                <w:rFonts w:ascii="Arial" w:cs="Arial" w:eastAsia="Arial" w:hAnsi="Arial"/>
                <w:sz w:val="14"/>
                <w:szCs w:val="14"/>
                <w:color w:val="0000FF"/>
                <w:w w:val="99"/>
              </w:rPr>
              <w:t>NOTES TO CONSOLIDATED FINANCIAL STATEMENTS (Unaudited)</w:t>
            </w:r>
          </w:p>
        </w:tc>
        <w:tc>
          <w:tcPr>
            <w:tcW w:w="3900" w:type="dxa"/>
            <w:vAlign w:val="bottom"/>
            <w:gridSpan w:val="6"/>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12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60" w:type="dxa"/>
            <w:vAlign w:val="bottom"/>
            <w:gridSpan w:val="24"/>
          </w:tcPr>
          <w:p>
            <w:pPr>
              <w:spacing w:after="0"/>
              <w:rPr>
                <w:sz w:val="20"/>
                <w:szCs w:val="20"/>
                <w:color w:val="auto"/>
              </w:rPr>
            </w:pPr>
            <w:r>
              <w:rPr>
                <w:rFonts w:ascii="Arial" w:cs="Arial" w:eastAsia="Arial" w:hAnsi="Arial"/>
                <w:sz w:val="14"/>
                <w:szCs w:val="14"/>
                <w:color w:val="0000FF"/>
              </w:rPr>
              <w:t>Note 1.  Significant Accounting Policies</w:t>
            </w:r>
          </w:p>
        </w:tc>
        <w:tc>
          <w:tcPr>
            <w:tcW w:w="3900" w:type="dxa"/>
            <w:vAlign w:val="bottom"/>
            <w:gridSpan w:val="6"/>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12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12"/>
          </w:tcPr>
          <w:p>
            <w:pPr>
              <w:spacing w:after="0"/>
              <w:rPr>
                <w:sz w:val="20"/>
                <w:szCs w:val="20"/>
                <w:color w:val="auto"/>
              </w:rPr>
            </w:pPr>
            <w:r>
              <w:rPr>
                <w:rFonts w:ascii="Arial" w:cs="Arial" w:eastAsia="Arial" w:hAnsi="Arial"/>
                <w:sz w:val="14"/>
                <w:szCs w:val="14"/>
                <w:color w:val="0000FF"/>
              </w:rPr>
              <w:t>Note 2.  Mergers and Acquisitions</w:t>
            </w:r>
          </w:p>
        </w:tc>
        <w:tc>
          <w:tcPr>
            <w:tcW w:w="300" w:type="dxa"/>
            <w:vAlign w:val="bottom"/>
            <w:gridSpan w:val="4"/>
          </w:tcPr>
          <w:p>
            <w:pPr>
              <w:spacing w:after="0"/>
              <w:rPr>
                <w:sz w:val="16"/>
                <w:szCs w:val="16"/>
                <w:color w:val="auto"/>
              </w:rPr>
            </w:pPr>
          </w:p>
        </w:tc>
        <w:tc>
          <w:tcPr>
            <w:tcW w:w="5660" w:type="dxa"/>
            <w:vAlign w:val="bottom"/>
            <w:gridSpan w:val="14"/>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14</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0000FF"/>
              </w:rPr>
              <w:t>Note 3.</w:t>
            </w:r>
          </w:p>
        </w:tc>
        <w:tc>
          <w:tcPr>
            <w:tcW w:w="1000" w:type="dxa"/>
            <w:vAlign w:val="bottom"/>
            <w:gridSpan w:val="6"/>
          </w:tcPr>
          <w:p>
            <w:pPr>
              <w:ind w:left="40"/>
              <w:spacing w:after="0"/>
              <w:rPr>
                <w:sz w:val="20"/>
                <w:szCs w:val="20"/>
                <w:color w:val="auto"/>
              </w:rPr>
            </w:pPr>
            <w:r>
              <w:rPr>
                <w:rFonts w:ascii="Arial" w:cs="Arial" w:eastAsia="Arial" w:hAnsi="Arial"/>
                <w:sz w:val="14"/>
                <w:szCs w:val="14"/>
                <w:color w:val="0000FF"/>
                <w:w w:val="96"/>
              </w:rPr>
              <w:t>Debt Securities</w:t>
            </w:r>
          </w:p>
        </w:tc>
        <w:tc>
          <w:tcPr>
            <w:tcW w:w="640" w:type="dxa"/>
            <w:vAlign w:val="bottom"/>
            <w:gridSpan w:val="4"/>
          </w:tcPr>
          <w:p>
            <w:pPr>
              <w:spacing w:after="0"/>
              <w:rPr>
                <w:sz w:val="16"/>
                <w:szCs w:val="16"/>
                <w:color w:val="auto"/>
              </w:rPr>
            </w:pPr>
          </w:p>
        </w:tc>
        <w:tc>
          <w:tcPr>
            <w:tcW w:w="5960" w:type="dxa"/>
            <w:vAlign w:val="bottom"/>
            <w:gridSpan w:val="18"/>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20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0000FF"/>
              </w:rPr>
              <w:t>Note 4.</w:t>
            </w:r>
          </w:p>
        </w:tc>
        <w:tc>
          <w:tcPr>
            <w:tcW w:w="1000" w:type="dxa"/>
            <w:vAlign w:val="bottom"/>
            <w:gridSpan w:val="6"/>
          </w:tcPr>
          <w:p>
            <w:pPr>
              <w:ind w:left="40"/>
              <w:spacing w:after="0"/>
              <w:rPr>
                <w:sz w:val="20"/>
                <w:szCs w:val="20"/>
                <w:color w:val="auto"/>
              </w:rPr>
            </w:pPr>
            <w:r>
              <w:rPr>
                <w:rFonts w:ascii="Arial" w:cs="Arial" w:eastAsia="Arial" w:hAnsi="Arial"/>
                <w:sz w:val="14"/>
                <w:szCs w:val="14"/>
                <w:color w:val="0000FF"/>
                <w:w w:val="98"/>
              </w:rPr>
              <w:t>Portfolio Loans</w:t>
            </w:r>
          </w:p>
        </w:tc>
        <w:tc>
          <w:tcPr>
            <w:tcW w:w="6600" w:type="dxa"/>
            <w:vAlign w:val="bottom"/>
            <w:gridSpan w:val="22"/>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26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0000FF"/>
              </w:rPr>
              <w:t>Note 5.</w:t>
            </w:r>
          </w:p>
        </w:tc>
        <w:tc>
          <w:tcPr>
            <w:tcW w:w="1000" w:type="dxa"/>
            <w:vAlign w:val="bottom"/>
            <w:gridSpan w:val="6"/>
          </w:tcPr>
          <w:p>
            <w:pPr>
              <w:ind w:left="40"/>
              <w:spacing w:after="0"/>
              <w:rPr>
                <w:sz w:val="20"/>
                <w:szCs w:val="20"/>
                <w:color w:val="auto"/>
              </w:rPr>
            </w:pPr>
            <w:r>
              <w:rPr>
                <w:rFonts w:ascii="Arial" w:cs="Arial" w:eastAsia="Arial" w:hAnsi="Arial"/>
                <w:sz w:val="14"/>
                <w:szCs w:val="14"/>
                <w:color w:val="0000FF"/>
              </w:rPr>
              <w:t>Leases</w:t>
            </w:r>
          </w:p>
        </w:tc>
        <w:tc>
          <w:tcPr>
            <w:tcW w:w="6600" w:type="dxa"/>
            <w:vAlign w:val="bottom"/>
            <w:gridSpan w:val="22"/>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35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0000FF"/>
              </w:rPr>
              <w:t>Note 6.</w:t>
            </w:r>
          </w:p>
        </w:tc>
        <w:tc>
          <w:tcPr>
            <w:tcW w:w="600" w:type="dxa"/>
            <w:vAlign w:val="bottom"/>
            <w:gridSpan w:val="3"/>
          </w:tcPr>
          <w:p>
            <w:pPr>
              <w:ind w:left="40"/>
              <w:spacing w:after="0"/>
              <w:rPr>
                <w:sz w:val="20"/>
                <w:szCs w:val="20"/>
                <w:color w:val="auto"/>
              </w:rPr>
            </w:pPr>
            <w:r>
              <w:rPr>
                <w:rFonts w:ascii="Arial" w:cs="Arial" w:eastAsia="Arial" w:hAnsi="Arial"/>
                <w:sz w:val="14"/>
                <w:szCs w:val="14"/>
                <w:color w:val="0000FF"/>
                <w:w w:val="99"/>
              </w:rPr>
              <w:t>Deposits</w:t>
            </w:r>
          </w:p>
        </w:tc>
        <w:tc>
          <w:tcPr>
            <w:tcW w:w="7000" w:type="dxa"/>
            <w:vAlign w:val="bottom"/>
            <w:gridSpan w:val="25"/>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37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0000FF"/>
              </w:rPr>
              <w:t>Note 7.</w:t>
            </w:r>
          </w:p>
        </w:tc>
        <w:tc>
          <w:tcPr>
            <w:tcW w:w="760" w:type="dxa"/>
            <w:vAlign w:val="bottom"/>
            <w:gridSpan w:val="4"/>
          </w:tcPr>
          <w:p>
            <w:pPr>
              <w:ind w:left="40"/>
              <w:spacing w:after="0"/>
              <w:rPr>
                <w:sz w:val="20"/>
                <w:szCs w:val="20"/>
                <w:color w:val="auto"/>
              </w:rPr>
            </w:pPr>
            <w:r>
              <w:rPr>
                <w:rFonts w:ascii="Arial" w:cs="Arial" w:eastAsia="Arial" w:hAnsi="Arial"/>
                <w:sz w:val="14"/>
                <w:szCs w:val="14"/>
                <w:color w:val="0000FF"/>
                <w:w w:val="97"/>
              </w:rPr>
              <w:t>Borrowings</w:t>
            </w:r>
          </w:p>
        </w:tc>
        <w:tc>
          <w:tcPr>
            <w:tcW w:w="6840" w:type="dxa"/>
            <w:vAlign w:val="bottom"/>
            <w:gridSpan w:val="24"/>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38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0000FF"/>
              </w:rPr>
              <w:t>Note 8.</w:t>
            </w:r>
          </w:p>
        </w:tc>
        <w:tc>
          <w:tcPr>
            <w:tcW w:w="1220" w:type="dxa"/>
            <w:vAlign w:val="bottom"/>
            <w:gridSpan w:val="7"/>
          </w:tcPr>
          <w:p>
            <w:pPr>
              <w:ind w:left="40"/>
              <w:spacing w:after="0"/>
              <w:rPr>
                <w:sz w:val="20"/>
                <w:szCs w:val="20"/>
                <w:color w:val="auto"/>
              </w:rPr>
            </w:pPr>
            <w:r>
              <w:rPr>
                <w:rFonts w:ascii="Arial" w:cs="Arial" w:eastAsia="Arial" w:hAnsi="Arial"/>
                <w:sz w:val="14"/>
                <w:szCs w:val="14"/>
                <w:color w:val="0000FF"/>
              </w:rPr>
              <w:t>Regulatory Capital</w:t>
            </w:r>
          </w:p>
        </w:tc>
        <w:tc>
          <w:tcPr>
            <w:tcW w:w="6380" w:type="dxa"/>
            <w:vAlign w:val="bottom"/>
            <w:gridSpan w:val="21"/>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40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80" w:type="dxa"/>
            <w:vAlign w:val="bottom"/>
            <w:gridSpan w:val="28"/>
          </w:tcPr>
          <w:p>
            <w:pPr>
              <w:spacing w:after="0"/>
              <w:rPr>
                <w:sz w:val="20"/>
                <w:szCs w:val="20"/>
                <w:color w:val="auto"/>
              </w:rPr>
            </w:pPr>
            <w:r>
              <w:rPr>
                <w:rFonts w:ascii="Arial" w:cs="Arial" w:eastAsia="Arial" w:hAnsi="Arial"/>
                <w:sz w:val="14"/>
                <w:szCs w:val="14"/>
                <w:color w:val="0000FF"/>
              </w:rPr>
              <w:t>Note 9.  Tax Credit Investments and Other Investments in Unconsolidated Entities</w:t>
            </w:r>
          </w:p>
        </w:tc>
        <w:tc>
          <w:tcPr>
            <w:tcW w:w="2980" w:type="dxa"/>
            <w:vAlign w:val="bottom"/>
            <w:gridSpan w:val="2"/>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43</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80" w:type="dxa"/>
            <w:vAlign w:val="bottom"/>
            <w:gridSpan w:val="28"/>
          </w:tcPr>
          <w:p>
            <w:pPr>
              <w:spacing w:after="0"/>
              <w:rPr>
                <w:sz w:val="20"/>
                <w:szCs w:val="20"/>
                <w:color w:val="auto"/>
              </w:rPr>
            </w:pPr>
            <w:r>
              <w:rPr>
                <w:rFonts w:ascii="Arial" w:cs="Arial" w:eastAsia="Arial" w:hAnsi="Arial"/>
                <w:sz w:val="14"/>
                <w:szCs w:val="14"/>
                <w:color w:val="0000FF"/>
              </w:rPr>
              <w:t>Note 10. Stock-Based Compensation</w:t>
            </w:r>
          </w:p>
        </w:tc>
        <w:tc>
          <w:tcPr>
            <w:tcW w:w="2980" w:type="dxa"/>
            <w:vAlign w:val="bottom"/>
            <w:gridSpan w:val="2"/>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44</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0000FF"/>
              </w:rPr>
              <w:t>Note 11.</w:t>
            </w:r>
          </w:p>
        </w:tc>
        <w:tc>
          <w:tcPr>
            <w:tcW w:w="3340" w:type="dxa"/>
            <w:vAlign w:val="bottom"/>
            <w:gridSpan w:val="19"/>
          </w:tcPr>
          <w:p>
            <w:pPr>
              <w:ind w:left="40"/>
              <w:spacing w:after="0"/>
              <w:rPr>
                <w:sz w:val="20"/>
                <w:szCs w:val="20"/>
                <w:color w:val="auto"/>
              </w:rPr>
            </w:pPr>
            <w:r>
              <w:rPr>
                <w:rFonts w:ascii="Arial" w:cs="Arial" w:eastAsia="Arial" w:hAnsi="Arial"/>
                <w:sz w:val="14"/>
                <w:szCs w:val="14"/>
                <w:color w:val="0000FF"/>
              </w:rPr>
              <w:t>Outstanding Commitments and Contingent Liabilities</w:t>
            </w:r>
          </w:p>
        </w:tc>
        <w:tc>
          <w:tcPr>
            <w:tcW w:w="4260" w:type="dxa"/>
            <w:vAlign w:val="bottom"/>
            <w:gridSpan w:val="9"/>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50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0000FF"/>
              </w:rPr>
              <w:t>Note 12.</w:t>
            </w:r>
          </w:p>
        </w:tc>
        <w:tc>
          <w:tcPr>
            <w:tcW w:w="2060" w:type="dxa"/>
            <w:vAlign w:val="bottom"/>
            <w:gridSpan w:val="15"/>
          </w:tcPr>
          <w:p>
            <w:pPr>
              <w:ind w:left="40"/>
              <w:spacing w:after="0"/>
              <w:rPr>
                <w:sz w:val="20"/>
                <w:szCs w:val="20"/>
                <w:color w:val="auto"/>
              </w:rPr>
            </w:pPr>
            <w:r>
              <w:rPr>
                <w:rFonts w:ascii="Arial" w:cs="Arial" w:eastAsia="Arial" w:hAnsi="Arial"/>
                <w:sz w:val="14"/>
                <w:szCs w:val="14"/>
                <w:color w:val="0000FF"/>
              </w:rPr>
              <w:t>Derivative Financial Instruments</w:t>
            </w:r>
          </w:p>
        </w:tc>
        <w:tc>
          <w:tcPr>
            <w:tcW w:w="1280" w:type="dxa"/>
            <w:vAlign w:val="bottom"/>
            <w:gridSpan w:val="4"/>
          </w:tcPr>
          <w:p>
            <w:pPr>
              <w:spacing w:after="0"/>
              <w:rPr>
                <w:sz w:val="16"/>
                <w:szCs w:val="16"/>
                <w:color w:val="auto"/>
              </w:rPr>
            </w:pPr>
          </w:p>
        </w:tc>
        <w:tc>
          <w:tcPr>
            <w:tcW w:w="4260" w:type="dxa"/>
            <w:vAlign w:val="bottom"/>
            <w:gridSpan w:val="9"/>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51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13"/>
          </w:tcPr>
          <w:p>
            <w:pPr>
              <w:spacing w:after="0"/>
              <w:rPr>
                <w:sz w:val="20"/>
                <w:szCs w:val="20"/>
                <w:color w:val="auto"/>
              </w:rPr>
            </w:pPr>
            <w:r>
              <w:rPr>
                <w:rFonts w:ascii="Arial" w:cs="Arial" w:eastAsia="Arial" w:hAnsi="Arial"/>
                <w:sz w:val="14"/>
                <w:szCs w:val="14"/>
                <w:color w:val="0000FF"/>
              </w:rPr>
              <w:t>Note 13. Fair Value Measurements</w:t>
            </w:r>
          </w:p>
        </w:tc>
        <w:tc>
          <w:tcPr>
            <w:tcW w:w="400" w:type="dxa"/>
            <w:vAlign w:val="bottom"/>
            <w:gridSpan w:val="4"/>
          </w:tcPr>
          <w:p>
            <w:pPr>
              <w:spacing w:after="0"/>
              <w:rPr>
                <w:sz w:val="16"/>
                <w:szCs w:val="16"/>
                <w:color w:val="auto"/>
              </w:rPr>
            </w:pPr>
          </w:p>
        </w:tc>
        <w:tc>
          <w:tcPr>
            <w:tcW w:w="5540" w:type="dxa"/>
            <w:vAlign w:val="bottom"/>
            <w:gridSpan w:val="13"/>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56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15"/>
          </w:tcPr>
          <w:p>
            <w:pPr>
              <w:spacing w:after="0"/>
              <w:rPr>
                <w:sz w:val="20"/>
                <w:szCs w:val="20"/>
                <w:color w:val="auto"/>
              </w:rPr>
            </w:pPr>
            <w:r>
              <w:rPr>
                <w:rFonts w:ascii="Arial" w:cs="Arial" w:eastAsia="Arial" w:hAnsi="Arial"/>
                <w:sz w:val="14"/>
                <w:szCs w:val="14"/>
                <w:color w:val="0000FF"/>
              </w:rPr>
              <w:t>Note 14. Earnings Per Common Share</w:t>
            </w:r>
          </w:p>
        </w:tc>
        <w:tc>
          <w:tcPr>
            <w:tcW w:w="5700" w:type="dxa"/>
            <w:vAlign w:val="bottom"/>
            <w:gridSpan w:val="15"/>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61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80" w:type="dxa"/>
            <w:vAlign w:val="bottom"/>
            <w:gridSpan w:val="20"/>
          </w:tcPr>
          <w:p>
            <w:pPr>
              <w:spacing w:after="0"/>
              <w:rPr>
                <w:sz w:val="20"/>
                <w:szCs w:val="20"/>
                <w:color w:val="auto"/>
              </w:rPr>
            </w:pPr>
            <w:r>
              <w:rPr>
                <w:rFonts w:ascii="Arial" w:cs="Arial" w:eastAsia="Arial" w:hAnsi="Arial"/>
                <w:sz w:val="14"/>
                <w:szCs w:val="14"/>
                <w:color w:val="0000FF"/>
              </w:rPr>
              <w:t>Note 15. Accumulated Other Comprehensive Income (Loss)</w:t>
            </w:r>
          </w:p>
        </w:tc>
        <w:tc>
          <w:tcPr>
            <w:tcW w:w="4380" w:type="dxa"/>
            <w:vAlign w:val="bottom"/>
            <w:gridSpan w:val="10"/>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62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0000FF"/>
              </w:rPr>
              <w:t>Note 16.</w:t>
            </w:r>
          </w:p>
        </w:tc>
        <w:tc>
          <w:tcPr>
            <w:tcW w:w="2900" w:type="dxa"/>
            <w:vAlign w:val="bottom"/>
            <w:gridSpan w:val="17"/>
          </w:tcPr>
          <w:p>
            <w:pPr>
              <w:ind w:left="40"/>
              <w:spacing w:after="0"/>
              <w:rPr>
                <w:sz w:val="20"/>
                <w:szCs w:val="20"/>
                <w:color w:val="auto"/>
              </w:rPr>
            </w:pPr>
            <w:r>
              <w:rPr>
                <w:rFonts w:ascii="Arial" w:cs="Arial" w:eastAsia="Arial" w:hAnsi="Arial"/>
                <w:sz w:val="14"/>
                <w:szCs w:val="14"/>
                <w:color w:val="0000FF"/>
              </w:rPr>
              <w:t>Operating Segments and Related Information</w:t>
            </w:r>
          </w:p>
        </w:tc>
        <w:tc>
          <w:tcPr>
            <w:tcW w:w="320" w:type="dxa"/>
            <w:vAlign w:val="bottom"/>
          </w:tcPr>
          <w:p>
            <w:pPr>
              <w:spacing w:after="0"/>
              <w:rPr>
                <w:sz w:val="16"/>
                <w:szCs w:val="16"/>
                <w:color w:val="auto"/>
              </w:rPr>
            </w:pPr>
          </w:p>
        </w:tc>
        <w:tc>
          <w:tcPr>
            <w:tcW w:w="4380" w:type="dxa"/>
            <w:vAlign w:val="bottom"/>
            <w:gridSpan w:val="10"/>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62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4"/>
          </w:tcPr>
          <w:p>
            <w:pPr>
              <w:spacing w:after="0"/>
              <w:rPr>
                <w:sz w:val="20"/>
                <w:szCs w:val="20"/>
                <w:color w:val="auto"/>
              </w:rPr>
            </w:pPr>
            <w:r>
              <w:rPr>
                <w:rFonts w:ascii="Arial" w:cs="Arial" w:eastAsia="Arial" w:hAnsi="Arial"/>
                <w:sz w:val="14"/>
                <w:szCs w:val="14"/>
                <w:color w:val="0000FF"/>
              </w:rPr>
              <w:t>Item 2.</w:t>
            </w:r>
          </w:p>
        </w:tc>
        <w:tc>
          <w:tcPr>
            <w:tcW w:w="6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8300" w:type="dxa"/>
            <w:vAlign w:val="bottom"/>
            <w:gridSpan w:val="31"/>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67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2220" w:type="dxa"/>
            <w:vAlign w:val="bottom"/>
            <w:tcBorders>
              <w:left w:val="single" w:sz="8" w:color="0000FF"/>
            </w:tcBorders>
            <w:gridSpan w:val="9"/>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4"/>
          </w:tcPr>
          <w:p>
            <w:pPr>
              <w:spacing w:after="0"/>
              <w:rPr>
                <w:sz w:val="20"/>
                <w:szCs w:val="20"/>
                <w:color w:val="auto"/>
              </w:rPr>
            </w:pPr>
            <w:r>
              <w:rPr>
                <w:rFonts w:ascii="Arial" w:cs="Arial" w:eastAsia="Arial" w:hAnsi="Arial"/>
                <w:sz w:val="14"/>
                <w:szCs w:val="14"/>
                <w:color w:val="0000FF"/>
              </w:rPr>
              <w:t>Item 3.</w:t>
            </w:r>
          </w:p>
        </w:tc>
        <w:tc>
          <w:tcPr>
            <w:tcW w:w="6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7180" w:type="dxa"/>
            <w:vAlign w:val="bottom"/>
            <w:gridSpan w:val="30"/>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11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97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2220" w:type="dxa"/>
            <w:vAlign w:val="bottom"/>
            <w:tcBorders>
              <w:left w:val="single" w:sz="8" w:color="0000FF"/>
            </w:tcBorders>
            <w:gridSpan w:val="9"/>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spacing w:after="0"/>
              <w:rPr>
                <w:sz w:val="20"/>
                <w:szCs w:val="20"/>
                <w:color w:val="auto"/>
              </w:rPr>
            </w:pPr>
            <w:r>
              <w:rPr>
                <w:rFonts w:ascii="Arial" w:cs="Arial" w:eastAsia="Arial" w:hAnsi="Arial"/>
                <w:sz w:val="14"/>
                <w:szCs w:val="14"/>
                <w:color w:val="0000FF"/>
                <w:w w:val="98"/>
              </w:rPr>
              <w:t>Item 4.</w:t>
            </w:r>
          </w:p>
        </w:tc>
        <w:tc>
          <w:tcPr>
            <w:tcW w:w="20" w:type="dxa"/>
            <w:vAlign w:val="bottom"/>
          </w:tcPr>
          <w:p>
            <w:pPr>
              <w:spacing w:after="0"/>
              <w:rPr>
                <w:sz w:val="16"/>
                <w:szCs w:val="16"/>
                <w:color w:val="auto"/>
              </w:rPr>
            </w:pPr>
          </w:p>
        </w:tc>
        <w:tc>
          <w:tcPr>
            <w:tcW w:w="6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26"/>
          </w:tcPr>
          <w:p>
            <w:pPr>
              <w:spacing w:after="0"/>
              <w:rPr>
                <w:sz w:val="20"/>
                <w:szCs w:val="20"/>
                <w:color w:val="auto"/>
              </w:rPr>
            </w:pPr>
            <w:r>
              <w:rPr>
                <w:rFonts w:ascii="Arial" w:cs="Arial" w:eastAsia="Arial" w:hAnsi="Arial"/>
                <w:sz w:val="14"/>
                <w:szCs w:val="14"/>
                <w:color w:val="0000FF"/>
              </w:rPr>
              <w:t>CONTROLS AND PROCEDURES</w:t>
            </w:r>
          </w:p>
        </w:tc>
        <w:tc>
          <w:tcPr>
            <w:tcW w:w="3440" w:type="dxa"/>
            <w:vAlign w:val="bottom"/>
            <w:gridSpan w:val="5"/>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98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660" w:type="dxa"/>
            <w:vAlign w:val="bottom"/>
            <w:gridSpan w:val="1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480" w:type="dxa"/>
            <w:vAlign w:val="bottom"/>
            <w:gridSpan w:val="3"/>
          </w:tcPr>
          <w:p>
            <w:pPr>
              <w:spacing w:after="0"/>
              <w:rPr>
                <w:sz w:val="20"/>
                <w:szCs w:val="20"/>
                <w:color w:val="auto"/>
              </w:rPr>
            </w:pPr>
            <w:r>
              <w:rPr>
                <w:rFonts w:ascii="Arial" w:cs="Arial" w:eastAsia="Arial" w:hAnsi="Arial"/>
                <w:sz w:val="14"/>
                <w:szCs w:val="14"/>
                <w:color w:val="0000FF"/>
                <w:w w:val="93"/>
              </w:rPr>
              <w:t>PART II</w:t>
            </w:r>
          </w:p>
        </w:tc>
        <w:tc>
          <w:tcPr>
            <w:tcW w:w="74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8300" w:type="dxa"/>
            <w:vAlign w:val="bottom"/>
            <w:gridSpan w:val="31"/>
          </w:tcPr>
          <w:p>
            <w:pPr>
              <w:spacing w:after="0"/>
              <w:rPr>
                <w:sz w:val="20"/>
                <w:szCs w:val="20"/>
                <w:color w:val="auto"/>
              </w:rPr>
            </w:pPr>
            <w:r>
              <w:rPr>
                <w:rFonts w:ascii="Arial" w:cs="Arial" w:eastAsia="Arial" w:hAnsi="Arial"/>
                <w:sz w:val="14"/>
                <w:szCs w:val="14"/>
                <w:color w:val="0000FF"/>
              </w:rPr>
              <w:t>OTHER INFORMATION</w:t>
            </w: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98</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660" w:type="dxa"/>
            <w:vAlign w:val="bottom"/>
            <w:gridSpan w:val="1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4"/>
          </w:tcPr>
          <w:p>
            <w:pPr>
              <w:spacing w:after="0"/>
              <w:rPr>
                <w:sz w:val="20"/>
                <w:szCs w:val="20"/>
                <w:color w:val="auto"/>
              </w:rPr>
            </w:pPr>
            <w:r>
              <w:rPr>
                <w:rFonts w:ascii="Arial" w:cs="Arial" w:eastAsia="Arial" w:hAnsi="Arial"/>
                <w:sz w:val="14"/>
                <w:szCs w:val="14"/>
                <w:color w:val="0000FF"/>
              </w:rPr>
              <w:t>Item 1.</w:t>
            </w:r>
          </w:p>
        </w:tc>
        <w:tc>
          <w:tcPr>
            <w:tcW w:w="64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8300" w:type="dxa"/>
            <w:vAlign w:val="bottom"/>
            <w:gridSpan w:val="31"/>
          </w:tcPr>
          <w:p>
            <w:pPr>
              <w:spacing w:after="0"/>
              <w:rPr>
                <w:sz w:val="20"/>
                <w:szCs w:val="20"/>
                <w:color w:val="auto"/>
              </w:rPr>
            </w:pPr>
            <w:r>
              <w:rPr>
                <w:rFonts w:ascii="Arial" w:cs="Arial" w:eastAsia="Arial" w:hAnsi="Arial"/>
                <w:sz w:val="14"/>
                <w:szCs w:val="14"/>
                <w:color w:val="0000FF"/>
              </w:rPr>
              <w:t>LEGAL PROCEEDINGS</w:t>
            </w: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99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660" w:type="dxa"/>
            <w:vAlign w:val="bottom"/>
            <w:gridSpan w:val="1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9"/>
          </w:tcPr>
          <w:p>
            <w:pPr>
              <w:spacing w:after="0"/>
              <w:rPr>
                <w:sz w:val="20"/>
                <w:szCs w:val="20"/>
                <w:color w:val="auto"/>
              </w:rPr>
            </w:pPr>
            <w:r>
              <w:rPr>
                <w:rFonts w:ascii="Arial" w:cs="Arial" w:eastAsia="Arial" w:hAnsi="Arial"/>
                <w:sz w:val="14"/>
                <w:szCs w:val="14"/>
                <w:color w:val="0000FF"/>
              </w:rPr>
              <w:t>Item 1A</w:t>
            </w:r>
            <w:r>
              <w:rPr>
                <w:rFonts w:ascii="Arial" w:cs="Arial" w:eastAsia="Arial" w:hAnsi="Arial"/>
                <w:sz w:val="14"/>
                <w:szCs w:val="14"/>
                <w:color w:val="000000"/>
              </w:rPr>
              <w:t>.</w:t>
            </w:r>
          </w:p>
        </w:tc>
        <w:tc>
          <w:tcPr>
            <w:tcW w:w="8440" w:type="dxa"/>
            <w:vAlign w:val="bottom"/>
            <w:gridSpan w:val="32"/>
          </w:tcPr>
          <w:p>
            <w:pPr>
              <w:ind w:left="140"/>
              <w:spacing w:after="0"/>
              <w:rPr>
                <w:sz w:val="20"/>
                <w:szCs w:val="20"/>
                <w:color w:val="auto"/>
              </w:rPr>
            </w:pPr>
            <w:r>
              <w:rPr>
                <w:rFonts w:ascii="Arial" w:cs="Arial" w:eastAsia="Arial" w:hAnsi="Arial"/>
                <w:sz w:val="14"/>
                <w:szCs w:val="14"/>
                <w:color w:val="0000FF"/>
              </w:rPr>
              <w:t>RISK FACTORS</w:t>
            </w: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99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660" w:type="dxa"/>
            <w:vAlign w:val="bottom"/>
            <w:gridSpan w:val="1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4"/>
          </w:tcPr>
          <w:p>
            <w:pPr>
              <w:spacing w:after="0"/>
              <w:rPr>
                <w:sz w:val="20"/>
                <w:szCs w:val="20"/>
                <w:color w:val="auto"/>
              </w:rPr>
            </w:pPr>
            <w:r>
              <w:rPr>
                <w:rFonts w:ascii="Arial" w:cs="Arial" w:eastAsia="Arial" w:hAnsi="Arial"/>
                <w:sz w:val="14"/>
                <w:szCs w:val="14"/>
                <w:color w:val="0000FF"/>
              </w:rPr>
              <w:t>Item 2.</w:t>
            </w:r>
          </w:p>
        </w:tc>
        <w:tc>
          <w:tcPr>
            <w:tcW w:w="40" w:type="dxa"/>
            <w:vAlign w:val="bottom"/>
          </w:tcPr>
          <w:p>
            <w:pPr>
              <w:spacing w:after="0"/>
              <w:rPr>
                <w:sz w:val="16"/>
                <w:szCs w:val="16"/>
                <w:color w:val="auto"/>
              </w:rPr>
            </w:pPr>
          </w:p>
        </w:tc>
        <w:tc>
          <w:tcPr>
            <w:tcW w:w="60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8300" w:type="dxa"/>
            <w:vAlign w:val="bottom"/>
            <w:gridSpan w:val="31"/>
          </w:tcPr>
          <w:p>
            <w:pPr>
              <w:spacing w:after="0"/>
              <w:rPr>
                <w:sz w:val="20"/>
                <w:szCs w:val="20"/>
                <w:color w:val="auto"/>
              </w:rPr>
            </w:pPr>
            <w:r>
              <w:rPr>
                <w:rFonts w:ascii="Arial" w:cs="Arial" w:eastAsia="Arial" w:hAnsi="Arial"/>
                <w:sz w:val="14"/>
                <w:szCs w:val="14"/>
                <w:color w:val="0000FF"/>
              </w:rPr>
              <w:t>UNREGISTERED SALES OF EQUITY SECURITIES, USE OF PROCEEDS, AND ISSUER PURCHASES OF EQUITY SECURITIES</w:t>
            </w: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99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5660" w:type="dxa"/>
            <w:vAlign w:val="bottom"/>
            <w:tcBorders>
              <w:left w:val="single" w:sz="8" w:color="0000FF"/>
            </w:tcBorders>
            <w:gridSpan w:val="14"/>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4"/>
          </w:tcPr>
          <w:p>
            <w:pPr>
              <w:spacing w:after="0"/>
              <w:rPr>
                <w:sz w:val="20"/>
                <w:szCs w:val="20"/>
                <w:color w:val="auto"/>
              </w:rPr>
            </w:pPr>
            <w:r>
              <w:rPr>
                <w:rFonts w:ascii="Arial" w:cs="Arial" w:eastAsia="Arial" w:hAnsi="Arial"/>
                <w:sz w:val="14"/>
                <w:szCs w:val="14"/>
                <w:color w:val="0000FF"/>
              </w:rPr>
              <w:t>Item 3.</w:t>
            </w:r>
          </w:p>
        </w:tc>
        <w:tc>
          <w:tcPr>
            <w:tcW w:w="6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8300" w:type="dxa"/>
            <w:vAlign w:val="bottom"/>
            <w:gridSpan w:val="31"/>
          </w:tcPr>
          <w:p>
            <w:pPr>
              <w:spacing w:after="0"/>
              <w:rPr>
                <w:sz w:val="20"/>
                <w:szCs w:val="20"/>
                <w:color w:val="auto"/>
              </w:rPr>
            </w:pPr>
            <w:r>
              <w:rPr>
                <w:rFonts w:ascii="Arial" w:cs="Arial" w:eastAsia="Arial" w:hAnsi="Arial"/>
                <w:sz w:val="14"/>
                <w:szCs w:val="14"/>
                <w:color w:val="0000FF"/>
              </w:rPr>
              <w:t>DEFAULTS UPON SENIOR SECURITIES</w:t>
            </w: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99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5660" w:type="dxa"/>
            <w:vAlign w:val="bottom"/>
            <w:gridSpan w:val="1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6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17"/>
          </w:tcPr>
          <w:p>
            <w:pPr>
              <w:spacing w:after="0"/>
              <w:rPr>
                <w:sz w:val="20"/>
                <w:szCs w:val="20"/>
                <w:color w:val="auto"/>
              </w:rPr>
            </w:pPr>
            <w:r>
              <w:rPr>
                <w:rFonts w:ascii="Arial" w:cs="Arial" w:eastAsia="Arial" w:hAnsi="Arial"/>
                <w:sz w:val="14"/>
                <w:szCs w:val="14"/>
                <w:color w:val="0000FF"/>
              </w:rPr>
              <w:t>MINE SAFETY DISCLOSURES</w:t>
            </w:r>
          </w:p>
        </w:tc>
        <w:tc>
          <w:tcPr>
            <w:tcW w:w="5660" w:type="dxa"/>
            <w:vAlign w:val="bottom"/>
            <w:gridSpan w:val="14"/>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99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6300" w:type="dxa"/>
            <w:vAlign w:val="bottom"/>
            <w:gridSpan w:val="2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4"/>
          </w:tcPr>
          <w:p>
            <w:pPr>
              <w:spacing w:after="0"/>
              <w:rPr>
                <w:sz w:val="20"/>
                <w:szCs w:val="20"/>
                <w:color w:val="auto"/>
              </w:rPr>
            </w:pPr>
            <w:r>
              <w:rPr>
                <w:rFonts w:ascii="Arial" w:cs="Arial" w:eastAsia="Arial" w:hAnsi="Arial"/>
                <w:sz w:val="14"/>
                <w:szCs w:val="14"/>
                <w:color w:val="0000FF"/>
              </w:rPr>
              <w:t>Item 5.</w:t>
            </w:r>
          </w:p>
        </w:tc>
        <w:tc>
          <w:tcPr>
            <w:tcW w:w="6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11"/>
          </w:tcPr>
          <w:p>
            <w:pPr>
              <w:spacing w:after="0"/>
              <w:rPr>
                <w:sz w:val="20"/>
                <w:szCs w:val="20"/>
                <w:color w:val="auto"/>
              </w:rPr>
            </w:pPr>
            <w:r>
              <w:rPr>
                <w:rFonts w:ascii="Arial" w:cs="Arial" w:eastAsia="Arial" w:hAnsi="Arial"/>
                <w:sz w:val="14"/>
                <w:szCs w:val="14"/>
                <w:color w:val="0000FF"/>
              </w:rPr>
              <w:t>OTHER INFORMATION</w:t>
            </w:r>
          </w:p>
        </w:tc>
        <w:tc>
          <w:tcPr>
            <w:tcW w:w="6300" w:type="dxa"/>
            <w:vAlign w:val="bottom"/>
            <w:gridSpan w:val="20"/>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99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4"/>
          </w:tcPr>
          <w:p>
            <w:pPr>
              <w:spacing w:after="0"/>
              <w:rPr>
                <w:sz w:val="20"/>
                <w:szCs w:val="20"/>
                <w:color w:val="auto"/>
              </w:rPr>
            </w:pPr>
            <w:r>
              <w:rPr>
                <w:rFonts w:ascii="Arial" w:cs="Arial" w:eastAsia="Arial" w:hAnsi="Arial"/>
                <w:sz w:val="14"/>
                <w:szCs w:val="14"/>
                <w:color w:val="0000FF"/>
              </w:rPr>
              <w:t>Item 6.</w:t>
            </w:r>
          </w:p>
        </w:tc>
        <w:tc>
          <w:tcPr>
            <w:tcW w:w="6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0000FF"/>
              </w:rPr>
              <w:t>EXHIBITS</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100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1220" w:type="dxa"/>
            <w:vAlign w:val="bottom"/>
            <w:gridSpan w:val="10"/>
          </w:tcPr>
          <w:p>
            <w:pPr>
              <w:spacing w:after="0"/>
              <w:rPr>
                <w:sz w:val="20"/>
                <w:szCs w:val="20"/>
                <w:color w:val="auto"/>
              </w:rPr>
            </w:pPr>
            <w:r>
              <w:rPr>
                <w:rFonts w:ascii="Arial" w:cs="Arial" w:eastAsia="Arial" w:hAnsi="Arial"/>
                <w:sz w:val="14"/>
                <w:szCs w:val="14"/>
                <w:color w:val="0000FF"/>
              </w:rPr>
              <w:t>SIGNATURES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0000FF"/>
              </w:rPr>
              <w:t>102</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4"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40" w:type="dxa"/>
            <w:vAlign w:val="bottom"/>
          </w:tcPr>
          <w:p>
            <w:pPr>
              <w:ind w:left="2900"/>
              <w:spacing w:after="0"/>
              <w:rPr>
                <w:sz w:val="20"/>
                <w:szCs w:val="20"/>
                <w:color w:val="auto"/>
              </w:rPr>
            </w:pPr>
            <w:r>
              <w:rPr>
                <w:rFonts w:ascii="Arial" w:cs="Arial" w:eastAsia="Arial" w:hAnsi="Arial"/>
                <w:sz w:val="14"/>
                <w:szCs w:val="14"/>
                <w:b w:val="1"/>
                <w:bCs w:val="1"/>
                <w:color w:val="auto"/>
              </w:rPr>
              <w:t>GLOSSARY</w:t>
            </w:r>
          </w:p>
        </w:tc>
      </w:tr>
      <w:tr>
        <w:trPr>
          <w:trHeight w:val="332"/>
        </w:trPr>
        <w:tc>
          <w:tcPr>
            <w:tcW w:w="11280" w:type="dxa"/>
            <w:vAlign w:val="bottom"/>
            <w:gridSpan w:val="3"/>
          </w:tcPr>
          <w:p>
            <w:pPr>
              <w:spacing w:after="0"/>
              <w:rPr>
                <w:sz w:val="20"/>
                <w:szCs w:val="20"/>
                <w:color w:val="auto"/>
              </w:rPr>
            </w:pPr>
            <w:r>
              <w:rPr>
                <w:rFonts w:ascii="Arial" w:cs="Arial" w:eastAsia="Arial" w:hAnsi="Arial"/>
                <w:sz w:val="14"/>
                <w:szCs w:val="14"/>
                <w:color w:val="auto"/>
              </w:rPr>
              <w:t>Busey uses acronyms, abbreviations, and other terms throughout this Quarterly Report, as defined in the glossary below:</w:t>
            </w:r>
          </w:p>
        </w:tc>
      </w:tr>
      <w:tr>
        <w:trPr>
          <w:trHeight w:val="392"/>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Term</w:t>
            </w:r>
          </w:p>
        </w:tc>
        <w:tc>
          <w:tcPr>
            <w:tcW w:w="80" w:type="dxa"/>
            <w:vAlign w:val="bottom"/>
            <w:tcBorders>
              <w:bottom w:val="single" w:sz="8" w:color="E0E7ED"/>
            </w:tcBorders>
          </w:tcPr>
          <w:p>
            <w:pPr>
              <w:spacing w:after="0"/>
              <w:rPr>
                <w:sz w:val="24"/>
                <w:szCs w:val="24"/>
                <w:color w:val="auto"/>
              </w:rPr>
            </w:pPr>
          </w:p>
        </w:tc>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Definition</w:t>
            </w:r>
          </w:p>
        </w:tc>
      </w:tr>
      <w:tr>
        <w:trPr>
          <w:trHeight w:val="21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2020 Equity Plan</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First Busey Corporation Amended 2020 Equity Incentive Plan</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ACL</w:t>
            </w:r>
          </w:p>
        </w:tc>
        <w:tc>
          <w:tcPr>
            <w:tcW w:w="8940" w:type="dxa"/>
            <w:vAlign w:val="bottom"/>
          </w:tcPr>
          <w:p>
            <w:pPr>
              <w:ind w:left="20"/>
              <w:spacing w:after="0"/>
              <w:rPr>
                <w:sz w:val="20"/>
                <w:szCs w:val="20"/>
                <w:color w:val="auto"/>
              </w:rPr>
            </w:pPr>
            <w:r>
              <w:rPr>
                <w:rFonts w:ascii="Arial" w:cs="Arial" w:eastAsia="Arial" w:hAnsi="Arial"/>
                <w:sz w:val="14"/>
                <w:szCs w:val="14"/>
                <w:color w:val="auto"/>
              </w:rPr>
              <w:t>Allowance for credit losses</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Annual Report</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Annual report filed with the SEC on Form 10-K pursuant to Section 13 or 15(d) of the Exchange Act</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AOCI</w:t>
            </w:r>
          </w:p>
        </w:tc>
        <w:tc>
          <w:tcPr>
            <w:tcW w:w="894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ASC</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Accounting Standards Codification</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ASU</w:t>
            </w:r>
          </w:p>
        </w:tc>
        <w:tc>
          <w:tcPr>
            <w:tcW w:w="8940" w:type="dxa"/>
            <w:vAlign w:val="bottom"/>
          </w:tcPr>
          <w:p>
            <w:pPr>
              <w:ind w:left="20"/>
              <w:spacing w:after="0"/>
              <w:rPr>
                <w:sz w:val="20"/>
                <w:szCs w:val="20"/>
                <w:color w:val="auto"/>
              </w:rPr>
            </w:pPr>
            <w:r>
              <w:rPr>
                <w:rFonts w:ascii="Arial" w:cs="Arial" w:eastAsia="Arial" w:hAnsi="Arial"/>
                <w:sz w:val="14"/>
                <w:szCs w:val="14"/>
                <w:color w:val="auto"/>
              </w:rPr>
              <w:t>Accounting Standards Update</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Basel III</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2010 capital accord adopted by the international Basel Committee on Banking Supervision</w:t>
            </w:r>
          </w:p>
        </w:tc>
      </w:tr>
      <w:tr>
        <w:trPr>
          <w:trHeight w:val="176"/>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Basel III Rule</w:t>
            </w:r>
          </w:p>
        </w:tc>
        <w:tc>
          <w:tcPr>
            <w:tcW w:w="8940" w:type="dxa"/>
            <w:vAlign w:val="bottom"/>
          </w:tcPr>
          <w:p>
            <w:pPr>
              <w:ind w:left="20"/>
              <w:spacing w:after="0"/>
              <w:rPr>
                <w:sz w:val="20"/>
                <w:szCs w:val="20"/>
                <w:color w:val="auto"/>
              </w:rPr>
            </w:pPr>
            <w:r>
              <w:rPr>
                <w:rFonts w:ascii="Arial" w:cs="Arial" w:eastAsia="Arial" w:hAnsi="Arial"/>
                <w:sz w:val="14"/>
                <w:szCs w:val="14"/>
                <w:color w:val="auto"/>
              </w:rPr>
              <w:t>Regulations promulgated by U.S. federal banking agencies—the OCC, the Federal Reserve, and the FDIC—to both enforce implementation of</w:t>
            </w:r>
          </w:p>
        </w:tc>
      </w:tr>
      <w:tr>
        <w:trPr>
          <w:trHeight w:val="170"/>
        </w:trPr>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940" w:type="dxa"/>
            <w:vAlign w:val="bottom"/>
          </w:tcPr>
          <w:p>
            <w:pPr>
              <w:ind w:left="20"/>
              <w:spacing w:after="0"/>
              <w:rPr>
                <w:sz w:val="20"/>
                <w:szCs w:val="20"/>
                <w:color w:val="auto"/>
              </w:rPr>
            </w:pPr>
            <w:r>
              <w:rPr>
                <w:rFonts w:ascii="Arial" w:cs="Arial" w:eastAsia="Arial" w:hAnsi="Arial"/>
                <w:sz w:val="14"/>
                <w:szCs w:val="14"/>
                <w:color w:val="auto"/>
              </w:rPr>
              <w:t>certain aspects of the Basel III capital reforms and effect certain changes required by the Dodd-Frank Wall Street Reform and Consumer</w:t>
            </w:r>
          </w:p>
        </w:tc>
      </w:tr>
      <w:tr>
        <w:trPr>
          <w:trHeight w:val="196"/>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40" w:type="dxa"/>
            <w:vAlign w:val="bottom"/>
          </w:tcPr>
          <w:p>
            <w:pPr>
              <w:ind w:left="20"/>
              <w:spacing w:after="0"/>
              <w:rPr>
                <w:sz w:val="20"/>
                <w:szCs w:val="20"/>
                <w:color w:val="auto"/>
              </w:rPr>
            </w:pPr>
            <w:r>
              <w:rPr>
                <w:rFonts w:ascii="Arial" w:cs="Arial" w:eastAsia="Arial" w:hAnsi="Arial"/>
                <w:sz w:val="14"/>
                <w:szCs w:val="14"/>
                <w:color w:val="auto"/>
              </w:rPr>
              <w:t>Protection Act</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bps</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basis points</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Busey</w:t>
            </w:r>
          </w:p>
        </w:tc>
        <w:tc>
          <w:tcPr>
            <w:tcW w:w="8940" w:type="dxa"/>
            <w:vAlign w:val="bottom"/>
          </w:tcPr>
          <w:p>
            <w:pPr>
              <w:ind w:left="20"/>
              <w:spacing w:after="0"/>
              <w:rPr>
                <w:sz w:val="20"/>
                <w:szCs w:val="20"/>
                <w:color w:val="auto"/>
              </w:rPr>
            </w:pPr>
            <w:r>
              <w:rPr>
                <w:rFonts w:ascii="Arial" w:cs="Arial" w:eastAsia="Arial" w:hAnsi="Arial"/>
                <w:sz w:val="14"/>
                <w:szCs w:val="14"/>
                <w:color w:val="auto"/>
              </w:rPr>
              <w:t>First Busey Corporation, together with its wholly-owned consolidated subsidiaries; also, “First Busey,” and the “Company”</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C&amp;I</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Commercial and industrial</w:t>
            </w:r>
          </w:p>
        </w:tc>
      </w:tr>
      <w:tr>
        <w:trPr>
          <w:trHeight w:val="176"/>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CECL</w:t>
            </w:r>
          </w:p>
        </w:tc>
        <w:tc>
          <w:tcPr>
            <w:tcW w:w="8940" w:type="dxa"/>
            <w:vAlign w:val="bottom"/>
          </w:tcPr>
          <w:p>
            <w:pPr>
              <w:ind w:left="20"/>
              <w:spacing w:after="0"/>
              <w:rPr>
                <w:sz w:val="20"/>
                <w:szCs w:val="20"/>
                <w:color w:val="auto"/>
              </w:rPr>
            </w:pPr>
            <w:r>
              <w:rPr>
                <w:rFonts w:ascii="Arial" w:cs="Arial" w:eastAsia="Arial" w:hAnsi="Arial"/>
                <w:sz w:val="14"/>
                <w:szCs w:val="14"/>
                <w:color w:val="auto"/>
              </w:rPr>
              <w:t>ASC Topic 326 “Financial Instruments-Credit Losses,” which established the Current Expected Credit Losses methodology for measuring</w:t>
            </w:r>
          </w:p>
        </w:tc>
      </w:tr>
      <w:tr>
        <w:trPr>
          <w:trHeight w:val="196"/>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40" w:type="dxa"/>
            <w:vAlign w:val="bottom"/>
          </w:tcPr>
          <w:p>
            <w:pPr>
              <w:ind w:left="20"/>
              <w:spacing w:after="0"/>
              <w:rPr>
                <w:sz w:val="20"/>
                <w:szCs w:val="20"/>
                <w:color w:val="auto"/>
              </w:rPr>
            </w:pPr>
            <w:r>
              <w:rPr>
                <w:rFonts w:ascii="Arial" w:cs="Arial" w:eastAsia="Arial" w:hAnsi="Arial"/>
                <w:sz w:val="14"/>
                <w:szCs w:val="14"/>
                <w:color w:val="auto"/>
              </w:rPr>
              <w:t>credit losses on financial instruments</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CrossFirst</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CrossFirst Bankshares, Inc.</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Current Report</w:t>
            </w:r>
          </w:p>
        </w:tc>
        <w:tc>
          <w:tcPr>
            <w:tcW w:w="8940" w:type="dxa"/>
            <w:vAlign w:val="bottom"/>
          </w:tcPr>
          <w:p>
            <w:pPr>
              <w:ind w:left="20"/>
              <w:spacing w:after="0"/>
              <w:rPr>
                <w:sz w:val="20"/>
                <w:szCs w:val="20"/>
                <w:color w:val="auto"/>
              </w:rPr>
            </w:pPr>
            <w:r>
              <w:rPr>
                <w:rFonts w:ascii="Arial" w:cs="Arial" w:eastAsia="Arial" w:hAnsi="Arial"/>
                <w:sz w:val="14"/>
                <w:szCs w:val="14"/>
                <w:color w:val="auto"/>
              </w:rPr>
              <w:t>Current report filed with the SEC on Form 8-K pursuant to Section 13 or 15(d) of the Securities Exchange Act of 1934</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DSU</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Deferred stock unit</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ESPP</w:t>
            </w:r>
          </w:p>
        </w:tc>
        <w:tc>
          <w:tcPr>
            <w:tcW w:w="8940" w:type="dxa"/>
            <w:vAlign w:val="bottom"/>
          </w:tcPr>
          <w:p>
            <w:pPr>
              <w:ind w:left="20"/>
              <w:spacing w:after="0"/>
              <w:rPr>
                <w:sz w:val="20"/>
                <w:szCs w:val="20"/>
                <w:color w:val="auto"/>
              </w:rPr>
            </w:pPr>
            <w:r>
              <w:rPr>
                <w:rFonts w:ascii="Arial" w:cs="Arial" w:eastAsia="Arial" w:hAnsi="Arial"/>
                <w:sz w:val="14"/>
                <w:szCs w:val="14"/>
                <w:color w:val="auto"/>
              </w:rPr>
              <w:t>First Busey Corporation Employee Stock Purchase Plan</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Exchange Act</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Securities Exchange Act of 1934, as amended</w:t>
            </w:r>
          </w:p>
        </w:tc>
      </w:tr>
      <w:tr>
        <w:trPr>
          <w:trHeight w:val="176"/>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Fair value</w:t>
            </w:r>
          </w:p>
        </w:tc>
        <w:tc>
          <w:tcPr>
            <w:tcW w:w="8940" w:type="dxa"/>
            <w:vAlign w:val="bottom"/>
          </w:tcPr>
          <w:p>
            <w:pPr>
              <w:ind w:left="20"/>
              <w:spacing w:after="0"/>
              <w:rPr>
                <w:sz w:val="20"/>
                <w:szCs w:val="20"/>
                <w:color w:val="auto"/>
              </w:rPr>
            </w:pPr>
            <w:r>
              <w:rPr>
                <w:rFonts w:ascii="Arial" w:cs="Arial" w:eastAsia="Arial" w:hAnsi="Arial"/>
                <w:sz w:val="14"/>
                <w:szCs w:val="14"/>
                <w:color w:val="auto"/>
              </w:rPr>
              <w:t>The price that would be received to sell an asset, or paid to transfer a liability, in an orderly transaction between market participants at the</w:t>
            </w:r>
          </w:p>
        </w:tc>
      </w:tr>
      <w:tr>
        <w:trPr>
          <w:trHeight w:val="196"/>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40" w:type="dxa"/>
            <w:vAlign w:val="bottom"/>
          </w:tcPr>
          <w:p>
            <w:pPr>
              <w:ind w:left="20"/>
              <w:spacing w:after="0"/>
              <w:rPr>
                <w:sz w:val="20"/>
                <w:szCs w:val="20"/>
                <w:color w:val="auto"/>
              </w:rPr>
            </w:pPr>
            <w:r>
              <w:rPr>
                <w:rFonts w:ascii="Arial" w:cs="Arial" w:eastAsia="Arial" w:hAnsi="Arial"/>
                <w:sz w:val="14"/>
                <w:szCs w:val="14"/>
                <w:color w:val="auto"/>
              </w:rPr>
              <w:t>measurement date, as defined in ASC Topic 820 “Fair Value Measurement”</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FASB</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Financial Accounting Standards Board</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FDIC</w:t>
            </w:r>
          </w:p>
        </w:tc>
        <w:tc>
          <w:tcPr>
            <w:tcW w:w="8940" w:type="dxa"/>
            <w:vAlign w:val="bottom"/>
          </w:tcPr>
          <w:p>
            <w:pPr>
              <w:ind w:left="20"/>
              <w:spacing w:after="0"/>
              <w:rPr>
                <w:sz w:val="20"/>
                <w:szCs w:val="20"/>
                <w:color w:val="auto"/>
              </w:rPr>
            </w:pPr>
            <w:r>
              <w:rPr>
                <w:rFonts w:ascii="Arial" w:cs="Arial" w:eastAsia="Arial" w:hAnsi="Arial"/>
                <w:sz w:val="14"/>
                <w:szCs w:val="14"/>
                <w:color w:val="auto"/>
              </w:rPr>
              <w:t>Federal Deposit Insurance Corporation</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Federal Reserve</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Board of Governors of the Federal Reserve System</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FHLB</w:t>
            </w:r>
          </w:p>
        </w:tc>
        <w:tc>
          <w:tcPr>
            <w:tcW w:w="8940" w:type="dxa"/>
            <w:vAlign w:val="bottom"/>
          </w:tcPr>
          <w:p>
            <w:pPr>
              <w:ind w:left="20"/>
              <w:spacing w:after="0"/>
              <w:rPr>
                <w:sz w:val="20"/>
                <w:szCs w:val="20"/>
                <w:color w:val="auto"/>
              </w:rPr>
            </w:pPr>
            <w:r>
              <w:rPr>
                <w:rFonts w:ascii="Arial" w:cs="Arial" w:eastAsia="Arial" w:hAnsi="Arial"/>
                <w:sz w:val="14"/>
                <w:szCs w:val="14"/>
                <w:color w:val="auto"/>
              </w:rPr>
              <w:t>Federal Home Loan Bank</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FirsTech</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FirsTech, Inc.</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GAAP</w:t>
            </w:r>
          </w:p>
        </w:tc>
        <w:tc>
          <w:tcPr>
            <w:tcW w:w="8940" w:type="dxa"/>
            <w:vAlign w:val="bottom"/>
          </w:tcPr>
          <w:p>
            <w:pPr>
              <w:ind w:left="20"/>
              <w:spacing w:after="0"/>
              <w:rPr>
                <w:sz w:val="20"/>
                <w:szCs w:val="20"/>
                <w:color w:val="auto"/>
              </w:rPr>
            </w:pPr>
            <w:r>
              <w:rPr>
                <w:rFonts w:ascii="Arial" w:cs="Arial" w:eastAsia="Arial" w:hAnsi="Arial"/>
                <w:sz w:val="14"/>
                <w:szCs w:val="14"/>
                <w:color w:val="auto"/>
              </w:rPr>
              <w:t>U.S. Generally Accepted Accounting Principles</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LIBOR</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London Interbank Offered Rate</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M&amp;M</w:t>
            </w:r>
          </w:p>
        </w:tc>
        <w:tc>
          <w:tcPr>
            <w:tcW w:w="8940" w:type="dxa"/>
            <w:vAlign w:val="bottom"/>
          </w:tcPr>
          <w:p>
            <w:pPr>
              <w:ind w:left="20"/>
              <w:spacing w:after="0"/>
              <w:rPr>
                <w:sz w:val="20"/>
                <w:szCs w:val="20"/>
                <w:color w:val="auto"/>
              </w:rPr>
            </w:pPr>
            <w:r>
              <w:rPr>
                <w:rFonts w:ascii="Arial" w:cs="Arial" w:eastAsia="Arial" w:hAnsi="Arial"/>
                <w:sz w:val="14"/>
                <w:szCs w:val="14"/>
                <w:color w:val="auto"/>
              </w:rPr>
              <w:t>Merchants and Manufacturers Bank Corporation</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M&amp;M Bank</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Merchants and Manufacturers Bank</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Nasdaq</w:t>
            </w:r>
          </w:p>
        </w:tc>
        <w:tc>
          <w:tcPr>
            <w:tcW w:w="8940" w:type="dxa"/>
            <w:vAlign w:val="bottom"/>
          </w:tcPr>
          <w:p>
            <w:pPr>
              <w:ind w:left="20"/>
              <w:spacing w:after="0"/>
              <w:rPr>
                <w:sz w:val="20"/>
                <w:szCs w:val="20"/>
                <w:color w:val="auto"/>
              </w:rPr>
            </w:pPr>
            <w:r>
              <w:rPr>
                <w:rFonts w:ascii="Arial" w:cs="Arial" w:eastAsia="Arial" w:hAnsi="Arial"/>
                <w:sz w:val="14"/>
                <w:szCs w:val="14"/>
                <w:color w:val="auto"/>
              </w:rPr>
              <w:t>National Association of Securities Dealers Automated Quotations</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N/A</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Not applicable</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OREO</w:t>
            </w:r>
          </w:p>
        </w:tc>
        <w:tc>
          <w:tcPr>
            <w:tcW w:w="8940" w:type="dxa"/>
            <w:vAlign w:val="bottom"/>
          </w:tcPr>
          <w:p>
            <w:pPr>
              <w:ind w:left="20"/>
              <w:spacing w:after="0"/>
              <w:rPr>
                <w:sz w:val="20"/>
                <w:szCs w:val="20"/>
                <w:color w:val="auto"/>
              </w:rPr>
            </w:pPr>
            <w:r>
              <w:rPr>
                <w:rFonts w:ascii="Arial" w:cs="Arial" w:eastAsia="Arial" w:hAnsi="Arial"/>
                <w:sz w:val="14"/>
                <w:szCs w:val="14"/>
                <w:color w:val="auto"/>
              </w:rPr>
              <w:t>Other real estate owned</w:t>
            </w:r>
          </w:p>
        </w:tc>
      </w:tr>
      <w:tr>
        <w:trPr>
          <w:trHeight w:val="222"/>
        </w:trPr>
        <w:tc>
          <w:tcPr>
            <w:tcW w:w="23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PCD</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Purchased credit deteriorated</w:t>
            </w: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34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8940" w:type="dxa"/>
            <w:vAlign w:val="bottom"/>
          </w:tcPr>
          <w:p>
            <w:pPr>
              <w:spacing w:after="0"/>
              <w:rPr>
                <w:sz w:val="14"/>
                <w:szCs w:val="14"/>
                <w:color w:val="auto"/>
              </w:rPr>
            </w:pPr>
          </w:p>
        </w:tc>
      </w:tr>
      <w:tr>
        <w:trPr>
          <w:trHeight w:val="872"/>
        </w:trPr>
        <w:tc>
          <w:tcPr>
            <w:tcW w:w="1100" w:type="dxa"/>
            <w:vAlign w:val="bottom"/>
            <w:tcBorders>
              <w:top w:val="single" w:sz="8" w:color="0000FF"/>
              <w:bottom w:val="single" w:sz="8" w:color="auto"/>
            </w:tcBorders>
          </w:tcPr>
          <w:p>
            <w:pPr>
              <w:ind w:left="20"/>
              <w:spacing w:after="0"/>
              <w:rPr>
                <w:sz w:val="20"/>
                <w:szCs w:val="20"/>
                <w:color w:val="auto"/>
              </w:rPr>
            </w:pPr>
            <w:r>
              <w:rPr>
                <w:rFonts w:ascii="Arial" w:cs="Arial" w:eastAsia="Arial" w:hAnsi="Arial"/>
                <w:sz w:val="14"/>
                <w:szCs w:val="14"/>
                <w:color w:val="auto"/>
              </w:rPr>
              <w:t>Term</w:t>
            </w: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Definition</w:t>
            </w:r>
          </w:p>
        </w:tc>
      </w:tr>
      <w:tr>
        <w:trPr>
          <w:trHeight w:val="202"/>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Quarterly Report</w:t>
            </w:r>
          </w:p>
        </w:tc>
        <w:tc>
          <w:tcPr>
            <w:tcW w:w="8940" w:type="dxa"/>
            <w:vAlign w:val="bottom"/>
          </w:tcPr>
          <w:p>
            <w:pPr>
              <w:ind w:left="20"/>
              <w:spacing w:after="0"/>
              <w:rPr>
                <w:sz w:val="20"/>
                <w:szCs w:val="20"/>
                <w:color w:val="auto"/>
              </w:rPr>
            </w:pPr>
            <w:r>
              <w:rPr>
                <w:rFonts w:ascii="Arial" w:cs="Arial" w:eastAsia="Arial" w:hAnsi="Arial"/>
                <w:sz w:val="14"/>
                <w:szCs w:val="14"/>
                <w:color w:val="auto"/>
              </w:rPr>
              <w:t>Quarterly report filed with the SEC on Form 10-Q pursuant to Section 13 or 15(d) of the Exchange Act</w:t>
            </w:r>
          </w:p>
        </w:tc>
      </w:tr>
      <w:tr>
        <w:trPr>
          <w:trHeight w:val="222"/>
        </w:trPr>
        <w:tc>
          <w:tcPr>
            <w:tcW w:w="2340" w:type="dxa"/>
            <w:vAlign w:val="bottom"/>
            <w:gridSpan w:val="3"/>
            <w:shd w:val="clear" w:color="auto" w:fill="E0E7ED"/>
          </w:tcPr>
          <w:p>
            <w:pPr>
              <w:ind w:left="20"/>
              <w:spacing w:after="0"/>
              <w:rPr>
                <w:sz w:val="20"/>
                <w:szCs w:val="20"/>
                <w:color w:val="auto"/>
              </w:rPr>
            </w:pPr>
            <w:r>
              <w:rPr>
                <w:rFonts w:ascii="Arial" w:cs="Arial" w:eastAsia="Arial" w:hAnsi="Arial"/>
                <w:sz w:val="14"/>
                <w:szCs w:val="14"/>
                <w:color w:val="auto"/>
              </w:rPr>
              <w:t>RSU</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Restricted stock unit</w:t>
            </w:r>
          </w:p>
        </w:tc>
      </w:tr>
      <w:tr>
        <w:trPr>
          <w:trHeight w:val="202"/>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SBA</w:t>
            </w:r>
          </w:p>
        </w:tc>
        <w:tc>
          <w:tcPr>
            <w:tcW w:w="8940" w:type="dxa"/>
            <w:vAlign w:val="bottom"/>
          </w:tcPr>
          <w:p>
            <w:pPr>
              <w:ind w:left="20"/>
              <w:spacing w:after="0"/>
              <w:rPr>
                <w:sz w:val="20"/>
                <w:szCs w:val="20"/>
                <w:color w:val="auto"/>
              </w:rPr>
            </w:pPr>
            <w:r>
              <w:rPr>
                <w:rFonts w:ascii="Arial" w:cs="Arial" w:eastAsia="Arial" w:hAnsi="Arial"/>
                <w:sz w:val="14"/>
                <w:szCs w:val="14"/>
                <w:color w:val="auto"/>
              </w:rPr>
              <w:t>U.S. Small Business Administration</w:t>
            </w:r>
          </w:p>
        </w:tc>
      </w:tr>
      <w:tr>
        <w:trPr>
          <w:trHeight w:val="222"/>
        </w:trPr>
        <w:tc>
          <w:tcPr>
            <w:tcW w:w="2340" w:type="dxa"/>
            <w:vAlign w:val="bottom"/>
            <w:gridSpan w:val="3"/>
            <w:shd w:val="clear" w:color="auto" w:fill="E0E7ED"/>
          </w:tcPr>
          <w:p>
            <w:pPr>
              <w:ind w:left="20"/>
              <w:spacing w:after="0"/>
              <w:rPr>
                <w:sz w:val="20"/>
                <w:szCs w:val="20"/>
                <w:color w:val="auto"/>
              </w:rPr>
            </w:pPr>
            <w:r>
              <w:rPr>
                <w:rFonts w:ascii="Arial" w:cs="Arial" w:eastAsia="Arial" w:hAnsi="Arial"/>
                <w:sz w:val="14"/>
                <w:szCs w:val="14"/>
                <w:color w:val="auto"/>
              </w:rPr>
              <w:t>SEC</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U.S. Securities and Exchange Commission</w:t>
            </w:r>
          </w:p>
        </w:tc>
      </w:tr>
      <w:tr>
        <w:trPr>
          <w:trHeight w:val="202"/>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SOFR</w:t>
            </w:r>
          </w:p>
        </w:tc>
        <w:tc>
          <w:tcPr>
            <w:tcW w:w="8940" w:type="dxa"/>
            <w:vAlign w:val="bottom"/>
          </w:tcPr>
          <w:p>
            <w:pPr>
              <w:ind w:left="20"/>
              <w:spacing w:after="0"/>
              <w:rPr>
                <w:sz w:val="20"/>
                <w:szCs w:val="20"/>
                <w:color w:val="auto"/>
              </w:rPr>
            </w:pPr>
            <w:r>
              <w:rPr>
                <w:rFonts w:ascii="Arial" w:cs="Arial" w:eastAsia="Arial" w:hAnsi="Arial"/>
                <w:sz w:val="14"/>
                <w:szCs w:val="14"/>
                <w:color w:val="auto"/>
              </w:rPr>
              <w:t>Secured Overnight Financing Rate published by the Federal Reserve</w:t>
            </w:r>
          </w:p>
        </w:tc>
      </w:tr>
      <w:tr>
        <w:trPr>
          <w:trHeight w:val="222"/>
        </w:trPr>
        <w:tc>
          <w:tcPr>
            <w:tcW w:w="2340" w:type="dxa"/>
            <w:vAlign w:val="bottom"/>
            <w:gridSpan w:val="3"/>
            <w:shd w:val="clear" w:color="auto" w:fill="E0E7ED"/>
          </w:tcPr>
          <w:p>
            <w:pPr>
              <w:ind w:left="20"/>
              <w:spacing w:after="0"/>
              <w:rPr>
                <w:sz w:val="20"/>
                <w:szCs w:val="20"/>
                <w:color w:val="auto"/>
              </w:rPr>
            </w:pPr>
            <w:r>
              <w:rPr>
                <w:rFonts w:ascii="Arial" w:cs="Arial" w:eastAsia="Arial" w:hAnsi="Arial"/>
                <w:sz w:val="14"/>
                <w:szCs w:val="14"/>
                <w:color w:val="auto"/>
              </w:rPr>
              <w:t>SSAR</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Stock-settled stock appreciation right</w:t>
            </w:r>
          </w:p>
        </w:tc>
      </w:tr>
      <w:tr>
        <w:trPr>
          <w:trHeight w:val="202"/>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U.S.</w:t>
            </w:r>
          </w:p>
        </w:tc>
        <w:tc>
          <w:tcPr>
            <w:tcW w:w="8940" w:type="dxa"/>
            <w:vAlign w:val="bottom"/>
          </w:tcPr>
          <w:p>
            <w:pPr>
              <w:ind w:left="20"/>
              <w:spacing w:after="0"/>
              <w:rPr>
                <w:sz w:val="20"/>
                <w:szCs w:val="20"/>
                <w:color w:val="auto"/>
              </w:rPr>
            </w:pPr>
            <w:r>
              <w:rPr>
                <w:rFonts w:ascii="Arial" w:cs="Arial" w:eastAsia="Arial" w:hAnsi="Arial"/>
                <w:sz w:val="14"/>
                <w:szCs w:val="14"/>
                <w:color w:val="auto"/>
              </w:rPr>
              <w:t>United States of America</w:t>
            </w:r>
          </w:p>
        </w:tc>
      </w:tr>
      <w:tr>
        <w:trPr>
          <w:trHeight w:val="222"/>
        </w:trPr>
        <w:tc>
          <w:tcPr>
            <w:tcW w:w="2340" w:type="dxa"/>
            <w:vAlign w:val="bottom"/>
            <w:gridSpan w:val="3"/>
            <w:shd w:val="clear" w:color="auto" w:fill="E0E7ED"/>
          </w:tcPr>
          <w:p>
            <w:pPr>
              <w:ind w:left="20"/>
              <w:spacing w:after="0"/>
              <w:rPr>
                <w:sz w:val="20"/>
                <w:szCs w:val="20"/>
                <w:color w:val="auto"/>
              </w:rPr>
            </w:pPr>
            <w:r>
              <w:rPr>
                <w:rFonts w:ascii="Arial" w:cs="Arial" w:eastAsia="Arial" w:hAnsi="Arial"/>
                <w:sz w:val="14"/>
                <w:szCs w:val="14"/>
                <w:color w:val="auto"/>
              </w:rPr>
              <w:t>U.S. Treasury</w:t>
            </w:r>
          </w:p>
        </w:tc>
        <w:tc>
          <w:tcPr>
            <w:tcW w:w="8940" w:type="dxa"/>
            <w:vAlign w:val="bottom"/>
            <w:shd w:val="clear" w:color="auto" w:fill="E0E7ED"/>
          </w:tcPr>
          <w:p>
            <w:pPr>
              <w:ind w:left="20"/>
              <w:spacing w:after="0"/>
              <w:rPr>
                <w:sz w:val="20"/>
                <w:szCs w:val="20"/>
                <w:color w:val="auto"/>
              </w:rPr>
            </w:pPr>
            <w:r>
              <w:rPr>
                <w:rFonts w:ascii="Arial" w:cs="Arial" w:eastAsia="Arial" w:hAnsi="Arial"/>
                <w:sz w:val="14"/>
                <w:szCs w:val="14"/>
                <w:color w:val="auto"/>
              </w:rPr>
              <w:t>U.S. Department of the Treasury</w:t>
            </w: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4"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I—FINANCIAL INFORMATION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FINANCIAL STATEMENTS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 (Unaudited)</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3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340" w:type="dxa"/>
            <w:vAlign w:val="bottom"/>
            <w:gridSpan w:val="5"/>
            <w:vMerge w:val="restart"/>
          </w:tcPr>
          <w:p>
            <w:pPr>
              <w:spacing w:after="0"/>
              <w:rPr>
                <w:sz w:val="20"/>
                <w:szCs w:val="20"/>
                <w:color w:val="auto"/>
              </w:rPr>
            </w:pPr>
            <w:r>
              <w:rPr>
                <w:rFonts w:ascii="Arial" w:cs="Arial" w:eastAsia="Arial" w:hAnsi="Arial"/>
                <w:sz w:val="11"/>
                <w:szCs w:val="11"/>
                <w:i w:val="1"/>
                <w:iCs w:val="1"/>
                <w:color w:val="auto"/>
              </w:rPr>
              <w:t>(dollars in thousands)</w:t>
            </w:r>
          </w:p>
        </w:tc>
        <w:tc>
          <w:tcPr>
            <w:tcW w:w="10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tcPr>
          <w:p>
            <w:pPr>
              <w:ind w:left="180"/>
              <w:spacing w:after="0" w:line="107" w:lineRule="exact"/>
              <w:rPr>
                <w:sz w:val="20"/>
                <w:szCs w:val="20"/>
                <w:color w:val="auto"/>
              </w:rPr>
            </w:pPr>
            <w:r>
              <w:rPr>
                <w:rFonts w:ascii="Arial" w:cs="Arial" w:eastAsia="Arial" w:hAnsi="Arial"/>
                <w:sz w:val="11"/>
                <w:szCs w:val="11"/>
                <w:b w:val="1"/>
                <w:bCs w:val="1"/>
                <w:color w:val="auto"/>
              </w:rPr>
              <w:t>March 31,</w:t>
            </w:r>
          </w:p>
        </w:tc>
        <w:tc>
          <w:tcPr>
            <w:tcW w:w="220" w:type="dxa"/>
            <w:vAlign w:val="bottom"/>
          </w:tcPr>
          <w:p>
            <w:pPr>
              <w:spacing w:after="0"/>
              <w:rPr>
                <w:sz w:val="9"/>
                <w:szCs w:val="9"/>
                <w:color w:val="auto"/>
              </w:rPr>
            </w:pPr>
          </w:p>
        </w:tc>
        <w:tc>
          <w:tcPr>
            <w:tcW w:w="1160" w:type="dxa"/>
            <w:vAlign w:val="bottom"/>
          </w:tcPr>
          <w:p>
            <w:pPr>
              <w:jc w:val="right"/>
              <w:ind w:right="263"/>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340" w:type="dxa"/>
            <w:vAlign w:val="bottom"/>
            <w:tcBorders>
              <w:bottom w:val="single" w:sz="8" w:color="auto"/>
            </w:tcBorders>
            <w:gridSpan w:val="5"/>
            <w:vMerge w:val="continue"/>
          </w:tcPr>
          <w:p>
            <w:pPr>
              <w:spacing w:after="0"/>
              <w:rPr>
                <w:sz w:val="11"/>
                <w:szCs w:val="11"/>
                <w:color w:val="auto"/>
              </w:rPr>
            </w:pPr>
          </w:p>
        </w:tc>
        <w:tc>
          <w:tcPr>
            <w:tcW w:w="100" w:type="dxa"/>
            <w:vAlign w:val="bottom"/>
            <w:tcBorders>
              <w:bottom w:val="single" w:sz="8" w:color="E0E7ED"/>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9"/>
        </w:trPr>
        <w:tc>
          <w:tcPr>
            <w:tcW w:w="8440" w:type="dxa"/>
            <w:vAlign w:val="bottom"/>
            <w:gridSpan w:val="6"/>
            <w:shd w:val="clear" w:color="auto" w:fill="E0E7ED"/>
          </w:tcPr>
          <w:p>
            <w:pPr>
              <w:spacing w:after="0"/>
              <w:rPr>
                <w:sz w:val="20"/>
                <w:szCs w:val="20"/>
                <w:color w:val="auto"/>
              </w:rPr>
            </w:pPr>
            <w:r>
              <w:rPr>
                <w:rFonts w:ascii="Arial" w:cs="Arial" w:eastAsia="Arial" w:hAnsi="Arial"/>
                <w:sz w:val="11"/>
                <w:szCs w:val="11"/>
                <w:b w:val="1"/>
                <w:bCs w:val="1"/>
                <w:color w:val="auto"/>
              </w:rPr>
              <w:t>Assets</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gridSpan w:val="6"/>
          </w:tcPr>
          <w:p>
            <w:pPr>
              <w:ind w:left="140"/>
              <w:spacing w:after="0"/>
              <w:rPr>
                <w:sz w:val="20"/>
                <w:szCs w:val="20"/>
                <w:color w:val="auto"/>
              </w:rPr>
            </w:pPr>
            <w:r>
              <w:rPr>
                <w:rFonts w:ascii="Arial" w:cs="Arial" w:eastAsia="Arial" w:hAnsi="Arial"/>
                <w:sz w:val="11"/>
                <w:szCs w:val="11"/>
                <w:color w:val="auto"/>
              </w:rPr>
              <w:t>Cash and cash equivalents: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260"/>
              <w:spacing w:after="0"/>
              <w:rPr>
                <w:sz w:val="20"/>
                <w:szCs w:val="20"/>
                <w:color w:val="auto"/>
              </w:rPr>
            </w:pPr>
            <w:r>
              <w:rPr>
                <w:rFonts w:ascii="Arial" w:cs="Arial" w:eastAsia="Arial" w:hAnsi="Arial"/>
                <w:sz w:val="11"/>
                <w:szCs w:val="11"/>
                <w:color w:val="auto"/>
              </w:rPr>
              <w:t>Cash and due from banks</w:t>
            </w:r>
          </w:p>
        </w:tc>
        <w:tc>
          <w:tcPr>
            <w:tcW w:w="240" w:type="dxa"/>
            <w:vAlign w:val="bottom"/>
            <w:shd w:val="clear" w:color="auto" w:fill="E0E7ED"/>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190,658</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129,444</w:t>
            </w:r>
          </w:p>
        </w:tc>
        <w:tc>
          <w:tcPr>
            <w:tcW w:w="0" w:type="dxa"/>
            <w:vAlign w:val="bottom"/>
          </w:tcPr>
          <w:p>
            <w:pPr>
              <w:spacing w:after="0"/>
              <w:rPr>
                <w:sz w:val="1"/>
                <w:szCs w:val="1"/>
                <w:color w:val="auto"/>
              </w:rPr>
            </w:pPr>
          </w:p>
        </w:tc>
      </w:tr>
      <w:tr>
        <w:trPr>
          <w:trHeight w:val="149"/>
        </w:trPr>
        <w:tc>
          <w:tcPr>
            <w:tcW w:w="8440" w:type="dxa"/>
            <w:vAlign w:val="bottom"/>
            <w:tcBorders>
              <w:bottom w:val="single" w:sz="8" w:color="E0E7ED"/>
            </w:tcBorders>
            <w:gridSpan w:val="6"/>
          </w:tcPr>
          <w:p>
            <w:pPr>
              <w:ind w:left="260"/>
              <w:spacing w:after="0"/>
              <w:rPr>
                <w:sz w:val="20"/>
                <w:szCs w:val="20"/>
                <w:color w:val="auto"/>
              </w:rPr>
            </w:pPr>
            <w:r>
              <w:rPr>
                <w:rFonts w:ascii="Arial" w:cs="Arial" w:eastAsia="Arial" w:hAnsi="Arial"/>
                <w:sz w:val="11"/>
                <w:szCs w:val="11"/>
                <w:color w:val="auto"/>
              </w:rPr>
              <w:t>Interest-bearing deposits</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1,009,634</w:t>
            </w:r>
          </w:p>
        </w:tc>
        <w:tc>
          <w:tcPr>
            <w:tcW w:w="8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568,215</w:t>
            </w:r>
          </w:p>
        </w:tc>
        <w:tc>
          <w:tcPr>
            <w:tcW w:w="0" w:type="dxa"/>
            <w:vAlign w:val="bottom"/>
          </w:tcPr>
          <w:p>
            <w:pPr>
              <w:spacing w:after="0"/>
              <w:rPr>
                <w:sz w:val="1"/>
                <w:szCs w:val="1"/>
                <w:color w:val="auto"/>
              </w:rPr>
            </w:pPr>
          </w:p>
        </w:tc>
      </w:tr>
      <w:tr>
        <w:trPr>
          <w:trHeight w:val="139"/>
        </w:trPr>
        <w:tc>
          <w:tcPr>
            <w:tcW w:w="8440" w:type="dxa"/>
            <w:vAlign w:val="bottom"/>
            <w:gridSpan w:val="6"/>
            <w:shd w:val="clear" w:color="auto" w:fill="E0E7ED"/>
          </w:tcPr>
          <w:p>
            <w:pPr>
              <w:ind w:left="140"/>
              <w:spacing w:after="0"/>
              <w:rPr>
                <w:sz w:val="20"/>
                <w:szCs w:val="20"/>
                <w:color w:val="auto"/>
              </w:rPr>
            </w:pPr>
            <w:r>
              <w:rPr>
                <w:rFonts w:ascii="Arial" w:cs="Arial" w:eastAsia="Arial" w:hAnsi="Arial"/>
                <w:sz w:val="11"/>
                <w:szCs w:val="11"/>
                <w:color w:val="auto"/>
              </w:rPr>
              <w:t>Total cash and cash equivalents</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1,200,292</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697,659</w:t>
            </w: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140"/>
              <w:spacing w:after="0"/>
              <w:rPr>
                <w:sz w:val="20"/>
                <w:szCs w:val="20"/>
                <w:color w:val="auto"/>
              </w:rPr>
            </w:pPr>
            <w:r>
              <w:rPr>
                <w:rFonts w:ascii="Arial" w:cs="Arial" w:eastAsia="Arial" w:hAnsi="Arial"/>
                <w:sz w:val="11"/>
                <w:szCs w:val="11"/>
                <w:color w:val="auto"/>
              </w:rPr>
              <w:t>Debt securities available for sale</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2,273,874</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1,810,221</w:t>
            </w:r>
          </w:p>
        </w:tc>
        <w:tc>
          <w:tcPr>
            <w:tcW w:w="0" w:type="dxa"/>
            <w:vAlign w:val="bottom"/>
          </w:tcPr>
          <w:p>
            <w:pPr>
              <w:spacing w:after="0"/>
              <w:rPr>
                <w:sz w:val="1"/>
                <w:szCs w:val="1"/>
                <w:color w:val="auto"/>
              </w:rPr>
            </w:pPr>
          </w:p>
        </w:tc>
      </w:tr>
      <w:tr>
        <w:trPr>
          <w:trHeight w:val="149"/>
        </w:trPr>
        <w:tc>
          <w:tcPr>
            <w:tcW w:w="8440" w:type="dxa"/>
            <w:vAlign w:val="bottom"/>
            <w:gridSpan w:val="6"/>
          </w:tcPr>
          <w:p>
            <w:pPr>
              <w:ind w:left="140"/>
              <w:spacing w:after="0"/>
              <w:rPr>
                <w:sz w:val="20"/>
                <w:szCs w:val="20"/>
                <w:color w:val="auto"/>
              </w:rPr>
            </w:pPr>
            <w:r>
              <w:rPr>
                <w:rFonts w:ascii="Arial" w:cs="Arial" w:eastAsia="Arial" w:hAnsi="Arial"/>
                <w:sz w:val="11"/>
                <w:szCs w:val="11"/>
                <w:color w:val="auto"/>
              </w:rPr>
              <w:t>Debt securities held to maturity</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815,402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826,630</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140"/>
              <w:spacing w:after="0"/>
              <w:rPr>
                <w:sz w:val="20"/>
                <w:szCs w:val="20"/>
                <w:color w:val="auto"/>
              </w:rPr>
            </w:pPr>
            <w:r>
              <w:rPr>
                <w:rFonts w:ascii="Arial" w:cs="Arial" w:eastAsia="Arial" w:hAnsi="Arial"/>
                <w:sz w:val="11"/>
                <w:szCs w:val="11"/>
                <w:color w:val="auto"/>
              </w:rPr>
              <w:t>Equity securities</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10,828</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15,862</w:t>
            </w:r>
          </w:p>
        </w:tc>
        <w:tc>
          <w:tcPr>
            <w:tcW w:w="0" w:type="dxa"/>
            <w:vAlign w:val="bottom"/>
          </w:tcPr>
          <w:p>
            <w:pPr>
              <w:spacing w:after="0"/>
              <w:rPr>
                <w:sz w:val="1"/>
                <w:szCs w:val="1"/>
                <w:color w:val="auto"/>
              </w:rPr>
            </w:pPr>
          </w:p>
        </w:tc>
      </w:tr>
      <w:tr>
        <w:trPr>
          <w:trHeight w:val="149"/>
        </w:trPr>
        <w:tc>
          <w:tcPr>
            <w:tcW w:w="8440" w:type="dxa"/>
            <w:vAlign w:val="bottom"/>
            <w:gridSpan w:val="6"/>
          </w:tcPr>
          <w:p>
            <w:pPr>
              <w:ind w:left="140"/>
              <w:spacing w:after="0"/>
              <w:rPr>
                <w:sz w:val="20"/>
                <w:szCs w:val="20"/>
                <w:color w:val="auto"/>
              </w:rPr>
            </w:pPr>
            <w:r>
              <w:rPr>
                <w:rFonts w:ascii="Arial" w:cs="Arial" w:eastAsia="Arial" w:hAnsi="Arial"/>
                <w:sz w:val="11"/>
                <w:szCs w:val="11"/>
                <w:color w:val="auto"/>
              </w:rPr>
              <w:t>Loans held for sale</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7,270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3,657</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140"/>
              <w:spacing w:after="0"/>
              <w:rPr>
                <w:sz w:val="20"/>
                <w:szCs w:val="20"/>
                <w:color w:val="auto"/>
              </w:rPr>
            </w:pPr>
            <w:r>
              <w:rPr>
                <w:rFonts w:ascii="Arial" w:cs="Arial" w:eastAsia="Arial" w:hAnsi="Arial"/>
                <w:sz w:val="11"/>
                <w:szCs w:val="11"/>
                <w:color w:val="auto"/>
              </w:rPr>
              <w:t>Portfolio loans (net of ACL of $195,210 at March 31, 2025, and $83,404 at December 31, 2024)</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13,673,147</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7,613,683</w:t>
            </w:r>
          </w:p>
        </w:tc>
        <w:tc>
          <w:tcPr>
            <w:tcW w:w="0" w:type="dxa"/>
            <w:vAlign w:val="bottom"/>
          </w:tcPr>
          <w:p>
            <w:pPr>
              <w:spacing w:after="0"/>
              <w:rPr>
                <w:sz w:val="1"/>
                <w:szCs w:val="1"/>
                <w:color w:val="auto"/>
              </w:rPr>
            </w:pPr>
          </w:p>
        </w:tc>
      </w:tr>
      <w:tr>
        <w:trPr>
          <w:trHeight w:val="149"/>
        </w:trPr>
        <w:tc>
          <w:tcPr>
            <w:tcW w:w="8440" w:type="dxa"/>
            <w:vAlign w:val="bottom"/>
            <w:gridSpan w:val="6"/>
          </w:tcPr>
          <w:p>
            <w:pPr>
              <w:ind w:left="140"/>
              <w:spacing w:after="0"/>
              <w:rPr>
                <w:sz w:val="20"/>
                <w:szCs w:val="20"/>
                <w:color w:val="auto"/>
              </w:rPr>
            </w:pPr>
            <w:r>
              <w:rPr>
                <w:rFonts w:ascii="Arial" w:cs="Arial" w:eastAsia="Arial" w:hAnsi="Arial"/>
                <w:sz w:val="11"/>
                <w:szCs w:val="11"/>
                <w:color w:val="auto"/>
              </w:rPr>
              <w:t>Restricted bank stock</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53,518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49,930</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140"/>
              <w:spacing w:after="0"/>
              <w:rPr>
                <w:sz w:val="20"/>
                <w:szCs w:val="20"/>
                <w:color w:val="auto"/>
              </w:rPr>
            </w:pPr>
            <w:r>
              <w:rPr>
                <w:rFonts w:ascii="Arial" w:cs="Arial" w:eastAsia="Arial" w:hAnsi="Arial"/>
                <w:sz w:val="11"/>
                <w:szCs w:val="11"/>
                <w:color w:val="auto"/>
              </w:rPr>
              <w:t>Premises and equipment, net</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182,003</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118,820</w:t>
            </w:r>
          </w:p>
        </w:tc>
        <w:tc>
          <w:tcPr>
            <w:tcW w:w="0" w:type="dxa"/>
            <w:vAlign w:val="bottom"/>
          </w:tcPr>
          <w:p>
            <w:pPr>
              <w:spacing w:after="0"/>
              <w:rPr>
                <w:sz w:val="1"/>
                <w:szCs w:val="1"/>
                <w:color w:val="auto"/>
              </w:rPr>
            </w:pPr>
          </w:p>
        </w:tc>
      </w:tr>
      <w:tr>
        <w:trPr>
          <w:trHeight w:val="149"/>
        </w:trPr>
        <w:tc>
          <w:tcPr>
            <w:tcW w:w="8440" w:type="dxa"/>
            <w:vAlign w:val="bottom"/>
            <w:gridSpan w:val="6"/>
          </w:tcPr>
          <w:p>
            <w:pPr>
              <w:ind w:left="140"/>
              <w:spacing w:after="0"/>
              <w:rPr>
                <w:sz w:val="20"/>
                <w:szCs w:val="20"/>
                <w:color w:val="auto"/>
              </w:rPr>
            </w:pPr>
            <w:r>
              <w:rPr>
                <w:rFonts w:ascii="Arial" w:cs="Arial" w:eastAsia="Arial" w:hAnsi="Arial"/>
                <w:sz w:val="11"/>
                <w:szCs w:val="11"/>
                <w:color w:val="auto"/>
              </w:rPr>
              <w:t>Right of use assets</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40,594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10,608</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140"/>
              <w:spacing w:after="0"/>
              <w:rPr>
                <w:sz w:val="20"/>
                <w:szCs w:val="20"/>
                <w:color w:val="auto"/>
              </w:rPr>
            </w:pPr>
            <w:r>
              <w:rPr>
                <w:rFonts w:ascii="Arial" w:cs="Arial" w:eastAsia="Arial" w:hAnsi="Arial"/>
                <w:sz w:val="11"/>
                <w:szCs w:val="11"/>
                <w:color w:val="auto"/>
              </w:rPr>
              <w:t>Goodwill</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385,139</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333,695</w:t>
            </w:r>
          </w:p>
        </w:tc>
        <w:tc>
          <w:tcPr>
            <w:tcW w:w="0" w:type="dxa"/>
            <w:vAlign w:val="bottom"/>
          </w:tcPr>
          <w:p>
            <w:pPr>
              <w:spacing w:after="0"/>
              <w:rPr>
                <w:sz w:val="1"/>
                <w:szCs w:val="1"/>
                <w:color w:val="auto"/>
              </w:rPr>
            </w:pPr>
          </w:p>
        </w:tc>
      </w:tr>
      <w:tr>
        <w:trPr>
          <w:trHeight w:val="149"/>
        </w:trPr>
        <w:tc>
          <w:tcPr>
            <w:tcW w:w="8440" w:type="dxa"/>
            <w:vAlign w:val="bottom"/>
            <w:gridSpan w:val="6"/>
          </w:tcPr>
          <w:p>
            <w:pPr>
              <w:ind w:left="140"/>
              <w:spacing w:after="0"/>
              <w:rPr>
                <w:sz w:val="20"/>
                <w:szCs w:val="20"/>
                <w:color w:val="auto"/>
              </w:rPr>
            </w:pPr>
            <w:r>
              <w:rPr>
                <w:rFonts w:ascii="Arial" w:cs="Arial" w:eastAsia="Arial" w:hAnsi="Arial"/>
                <w:sz w:val="11"/>
                <w:szCs w:val="11"/>
                <w:color w:val="auto"/>
              </w:rPr>
              <w:t>Other intangible assets, net</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110,979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32,280</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140"/>
              <w:spacing w:after="0"/>
              <w:rPr>
                <w:sz w:val="20"/>
                <w:szCs w:val="20"/>
                <w:color w:val="auto"/>
              </w:rPr>
            </w:pPr>
            <w:r>
              <w:rPr>
                <w:rFonts w:ascii="Arial" w:cs="Arial" w:eastAsia="Arial" w:hAnsi="Arial"/>
                <w:sz w:val="11"/>
                <w:szCs w:val="11"/>
                <w:color w:val="auto"/>
              </w:rPr>
              <w:t>Cash surrender value of bank owned life insurance</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256,432</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185,087</w:t>
            </w:r>
          </w:p>
        </w:tc>
        <w:tc>
          <w:tcPr>
            <w:tcW w:w="0" w:type="dxa"/>
            <w:vAlign w:val="bottom"/>
          </w:tcPr>
          <w:p>
            <w:pPr>
              <w:spacing w:after="0"/>
              <w:rPr>
                <w:sz w:val="1"/>
                <w:szCs w:val="1"/>
                <w:color w:val="auto"/>
              </w:rPr>
            </w:pPr>
          </w:p>
        </w:tc>
      </w:tr>
      <w:tr>
        <w:trPr>
          <w:trHeight w:val="149"/>
        </w:trPr>
        <w:tc>
          <w:tcPr>
            <w:tcW w:w="8440" w:type="dxa"/>
            <w:vAlign w:val="bottom"/>
            <w:tcBorders>
              <w:bottom w:val="single" w:sz="8" w:color="E0E7ED"/>
            </w:tcBorders>
            <w:gridSpan w:val="6"/>
          </w:tcPr>
          <w:p>
            <w:pPr>
              <w:ind w:left="140"/>
              <w:spacing w:after="0"/>
              <w:rPr>
                <w:sz w:val="20"/>
                <w:szCs w:val="20"/>
                <w:color w:val="auto"/>
              </w:rPr>
            </w:pPr>
            <w:r>
              <w:rPr>
                <w:rFonts w:ascii="Arial" w:cs="Arial" w:eastAsia="Arial" w:hAnsi="Arial"/>
                <w:sz w:val="11"/>
                <w:szCs w:val="11"/>
                <w:color w:val="auto"/>
              </w:rPr>
              <w:t>Other assets</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454,774</w:t>
            </w:r>
          </w:p>
        </w:tc>
        <w:tc>
          <w:tcPr>
            <w:tcW w:w="8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348,590</w:t>
            </w:r>
          </w:p>
        </w:tc>
        <w:tc>
          <w:tcPr>
            <w:tcW w:w="0" w:type="dxa"/>
            <w:vAlign w:val="bottom"/>
          </w:tcPr>
          <w:p>
            <w:pPr>
              <w:spacing w:after="0"/>
              <w:rPr>
                <w:sz w:val="1"/>
                <w:szCs w:val="1"/>
                <w:color w:val="auto"/>
              </w:rPr>
            </w:pPr>
          </w:p>
        </w:tc>
      </w:tr>
      <w:tr>
        <w:trPr>
          <w:trHeight w:val="164"/>
        </w:trPr>
        <w:tc>
          <w:tcPr>
            <w:tcW w:w="8440" w:type="dxa"/>
            <w:vAlign w:val="bottom"/>
            <w:tcBorders>
              <w:bottom w:val="single" w:sz="8" w:color="E0E7ED"/>
            </w:tcBorders>
            <w:gridSpan w:val="6"/>
            <w:shd w:val="clear" w:color="auto" w:fill="E0E7ED"/>
          </w:tcPr>
          <w:p>
            <w:pPr>
              <w:spacing w:after="0"/>
              <w:rPr>
                <w:sz w:val="20"/>
                <w:szCs w:val="20"/>
                <w:color w:val="auto"/>
              </w:rPr>
            </w:pPr>
            <w:r>
              <w:rPr>
                <w:rFonts w:ascii="Arial" w:cs="Arial" w:eastAsia="Arial" w:hAnsi="Arial"/>
                <w:sz w:val="11"/>
                <w:szCs w:val="11"/>
                <w:color w:val="auto"/>
              </w:rPr>
              <w:t>Total assets</w:t>
            </w:r>
          </w:p>
        </w:tc>
        <w:tc>
          <w:tcPr>
            <w:tcW w:w="240" w:type="dxa"/>
            <w:vAlign w:val="bottom"/>
            <w:tcBorders>
              <w:bottom w:val="single" w:sz="8" w:color="auto"/>
            </w:tcBorders>
            <w:shd w:val="clear" w:color="auto" w:fill="E0E7ED"/>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19,464,252</w:t>
            </w:r>
          </w:p>
        </w:tc>
        <w:tc>
          <w:tcPr>
            <w:tcW w:w="80" w:type="dxa"/>
            <w:vAlign w:val="bottom"/>
            <w:tcBorders>
              <w:bottom w:val="single" w:sz="8" w:color="E0E7ED"/>
            </w:tcBorders>
            <w:shd w:val="clear" w:color="auto" w:fill="E0E7ED"/>
          </w:tcPr>
          <w:p>
            <w:pPr>
              <w:spacing w:after="0"/>
              <w:rPr>
                <w:sz w:val="13"/>
                <w:szCs w:val="13"/>
                <w:color w:val="auto"/>
              </w:rPr>
            </w:pPr>
          </w:p>
        </w:tc>
        <w:tc>
          <w:tcPr>
            <w:tcW w:w="220" w:type="dxa"/>
            <w:vAlign w:val="bottom"/>
            <w:tcBorders>
              <w:bottom w:val="single" w:sz="8" w:color="auto"/>
            </w:tcBorders>
            <w:shd w:val="clear" w:color="auto" w:fill="E0E7ED"/>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12,046,722</w:t>
            </w:r>
          </w:p>
        </w:tc>
        <w:tc>
          <w:tcPr>
            <w:tcW w:w="0" w:type="dxa"/>
            <w:vAlign w:val="bottom"/>
          </w:tcPr>
          <w:p>
            <w:pPr>
              <w:spacing w:after="0"/>
              <w:rPr>
                <w:sz w:val="1"/>
                <w:szCs w:val="1"/>
                <w:color w:val="auto"/>
              </w:rPr>
            </w:pPr>
          </w:p>
        </w:tc>
      </w:tr>
      <w:tr>
        <w:trPr>
          <w:trHeight w:val="20"/>
        </w:trPr>
        <w:tc>
          <w:tcPr>
            <w:tcW w:w="330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46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spacing w:after="0"/>
              <w:rPr>
                <w:sz w:val="20"/>
                <w:szCs w:val="20"/>
                <w:color w:val="auto"/>
              </w:rPr>
            </w:pPr>
            <w:r>
              <w:rPr>
                <w:rFonts w:ascii="Arial" w:cs="Arial" w:eastAsia="Arial" w:hAnsi="Arial"/>
                <w:sz w:val="11"/>
                <w:szCs w:val="11"/>
                <w:b w:val="1"/>
                <w:bCs w:val="1"/>
                <w:color w:val="auto"/>
              </w:rPr>
              <w:t>Liabilities and stockholders’ equity</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gridSpan w:val="6"/>
          </w:tcPr>
          <w:p>
            <w:pPr>
              <w:ind w:left="140"/>
              <w:spacing w:after="0"/>
              <w:rPr>
                <w:sz w:val="20"/>
                <w:szCs w:val="20"/>
                <w:color w:val="auto"/>
              </w:rPr>
            </w:pPr>
            <w:r>
              <w:rPr>
                <w:rFonts w:ascii="Arial" w:cs="Arial" w:eastAsia="Arial" w:hAnsi="Arial"/>
                <w:sz w:val="11"/>
                <w:szCs w:val="11"/>
                <w:b w:val="1"/>
                <w:bCs w:val="1"/>
                <w:color w:val="auto"/>
              </w:rPr>
              <w:t>Liabilities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260"/>
              <w:spacing w:after="0"/>
              <w:rPr>
                <w:sz w:val="20"/>
                <w:szCs w:val="20"/>
                <w:color w:val="auto"/>
              </w:rPr>
            </w:pPr>
            <w:r>
              <w:rPr>
                <w:rFonts w:ascii="Arial" w:cs="Arial" w:eastAsia="Arial" w:hAnsi="Arial"/>
                <w:sz w:val="11"/>
                <w:szCs w:val="11"/>
                <w:color w:val="auto"/>
              </w:rPr>
              <w:t>Deposits:</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gridSpan w:val="6"/>
          </w:tcPr>
          <w:p>
            <w:pPr>
              <w:ind w:left="400"/>
              <w:spacing w:after="0"/>
              <w:rPr>
                <w:sz w:val="20"/>
                <w:szCs w:val="20"/>
                <w:color w:val="auto"/>
              </w:rPr>
            </w:pPr>
            <w:r>
              <w:rPr>
                <w:rFonts w:ascii="Arial" w:cs="Arial" w:eastAsia="Arial" w:hAnsi="Arial"/>
                <w:sz w:val="11"/>
                <w:szCs w:val="11"/>
                <w:color w:val="auto"/>
              </w:rPr>
              <w:t>Noninterest-bearing</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3,693,070</w:t>
            </w:r>
          </w:p>
        </w:tc>
        <w:tc>
          <w:tcPr>
            <w:tcW w:w="80" w:type="dxa"/>
            <w:vAlign w:val="bottom"/>
          </w:tcPr>
          <w:p>
            <w:pPr>
              <w:spacing w:after="0"/>
              <w:rPr>
                <w:sz w:val="12"/>
                <w:szCs w:val="12"/>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2,719,907</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400"/>
              <w:spacing w:after="0"/>
              <w:rPr>
                <w:sz w:val="20"/>
                <w:szCs w:val="20"/>
                <w:color w:val="auto"/>
              </w:rPr>
            </w:pPr>
            <w:r>
              <w:rPr>
                <w:rFonts w:ascii="Arial" w:cs="Arial" w:eastAsia="Arial" w:hAnsi="Arial"/>
                <w:sz w:val="11"/>
                <w:szCs w:val="11"/>
                <w:color w:val="auto"/>
              </w:rPr>
              <w:t>Interest-bearing</w:t>
            </w:r>
          </w:p>
        </w:tc>
        <w:tc>
          <w:tcPr>
            <w:tcW w:w="240" w:type="dxa"/>
            <w:vAlign w:val="bottom"/>
            <w:tcBorders>
              <w:bottom w:val="single" w:sz="8" w:color="auto"/>
            </w:tcBorders>
            <w:shd w:val="clear" w:color="auto" w:fill="E0E7ED"/>
          </w:tcPr>
          <w:p>
            <w:pPr>
              <w:spacing w:after="0"/>
              <w:rPr>
                <w:sz w:val="12"/>
                <w:szCs w:val="12"/>
                <w:color w:val="auto"/>
              </w:rPr>
            </w:pPr>
          </w:p>
        </w:tc>
        <w:tc>
          <w:tcPr>
            <w:tcW w:w="112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12,766,400</w:t>
            </w:r>
          </w:p>
        </w:tc>
        <w:tc>
          <w:tcPr>
            <w:tcW w:w="80" w:type="dxa"/>
            <w:vAlign w:val="bottom"/>
            <w:shd w:val="clear" w:color="auto" w:fill="E0E7ED"/>
          </w:tcPr>
          <w:p>
            <w:pPr>
              <w:spacing w:after="0"/>
              <w:rPr>
                <w:sz w:val="12"/>
                <w:szCs w:val="12"/>
                <w:color w:val="auto"/>
              </w:rPr>
            </w:pPr>
          </w:p>
        </w:tc>
        <w:tc>
          <w:tcPr>
            <w:tcW w:w="22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7,262,583</w:t>
            </w:r>
          </w:p>
        </w:tc>
        <w:tc>
          <w:tcPr>
            <w:tcW w:w="0" w:type="dxa"/>
            <w:vAlign w:val="bottom"/>
          </w:tcPr>
          <w:p>
            <w:pPr>
              <w:spacing w:after="0"/>
              <w:rPr>
                <w:sz w:val="1"/>
                <w:szCs w:val="1"/>
                <w:color w:val="auto"/>
              </w:rPr>
            </w:pPr>
          </w:p>
        </w:tc>
      </w:tr>
      <w:tr>
        <w:trPr>
          <w:trHeight w:val="139"/>
        </w:trPr>
        <w:tc>
          <w:tcPr>
            <w:tcW w:w="8440" w:type="dxa"/>
            <w:vAlign w:val="bottom"/>
            <w:gridSpan w:val="6"/>
          </w:tcPr>
          <w:p>
            <w:pPr>
              <w:ind w:left="260"/>
              <w:spacing w:after="0"/>
              <w:rPr>
                <w:sz w:val="20"/>
                <w:szCs w:val="20"/>
                <w:color w:val="auto"/>
              </w:rPr>
            </w:pPr>
            <w:r>
              <w:rPr>
                <w:rFonts w:ascii="Arial" w:cs="Arial" w:eastAsia="Arial" w:hAnsi="Arial"/>
                <w:sz w:val="11"/>
                <w:szCs w:val="11"/>
                <w:color w:val="auto"/>
              </w:rPr>
              <w:t>Total deposits</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16,459,470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9,982,490</w:t>
            </w:r>
          </w:p>
        </w:tc>
        <w:tc>
          <w:tcPr>
            <w:tcW w:w="0" w:type="dxa"/>
            <w:vAlign w:val="bottom"/>
          </w:tcPr>
          <w:p>
            <w:pPr>
              <w:spacing w:after="0"/>
              <w:rPr>
                <w:sz w:val="1"/>
                <w:szCs w:val="1"/>
                <w:color w:val="auto"/>
              </w:rPr>
            </w:pPr>
          </w:p>
        </w:tc>
      </w:tr>
      <w:tr>
        <w:trPr>
          <w:trHeight w:val="127"/>
        </w:trPr>
        <w:tc>
          <w:tcPr>
            <w:tcW w:w="330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462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112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1160" w:type="dxa"/>
            <w:vAlign w:val="bottom"/>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40" w:type="dxa"/>
            <w:vAlign w:val="bottom"/>
            <w:gridSpan w:val="6"/>
          </w:tcPr>
          <w:p>
            <w:pPr>
              <w:ind w:left="260"/>
              <w:spacing w:after="0"/>
              <w:rPr>
                <w:sz w:val="20"/>
                <w:szCs w:val="20"/>
                <w:color w:val="auto"/>
              </w:rPr>
            </w:pPr>
            <w:r>
              <w:rPr>
                <w:rFonts w:ascii="Arial" w:cs="Arial" w:eastAsia="Arial" w:hAnsi="Arial"/>
                <w:sz w:val="11"/>
                <w:szCs w:val="11"/>
                <w:color w:val="auto"/>
              </w:rPr>
              <w:t>Securities sold under agreements to repurchase</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137,340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155,610</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260"/>
              <w:spacing w:after="0"/>
              <w:rPr>
                <w:sz w:val="20"/>
                <w:szCs w:val="20"/>
                <w:color w:val="auto"/>
              </w:rPr>
            </w:pPr>
            <w:r>
              <w:rPr>
                <w:rFonts w:ascii="Arial" w:cs="Arial" w:eastAsia="Arial" w:hAnsi="Arial"/>
                <w:sz w:val="11"/>
                <w:szCs w:val="11"/>
                <w:color w:val="auto"/>
              </w:rPr>
              <w:t>Short-term borrowings</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11,209</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8440" w:type="dxa"/>
            <w:vAlign w:val="bottom"/>
            <w:gridSpan w:val="6"/>
          </w:tcPr>
          <w:p>
            <w:pPr>
              <w:ind w:left="260"/>
              <w:spacing w:after="0"/>
              <w:rPr>
                <w:sz w:val="20"/>
                <w:szCs w:val="20"/>
                <w:color w:val="auto"/>
              </w:rPr>
            </w:pPr>
            <w:r>
              <w:rPr>
                <w:rFonts w:ascii="Arial" w:cs="Arial" w:eastAsia="Arial" w:hAnsi="Arial"/>
                <w:sz w:val="11"/>
                <w:szCs w:val="11"/>
                <w:color w:val="auto"/>
              </w:rPr>
              <w:t>Long-term debt</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78,542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260"/>
              <w:spacing w:after="0"/>
              <w:rPr>
                <w:sz w:val="20"/>
                <w:szCs w:val="20"/>
                <w:color w:val="auto"/>
              </w:rPr>
            </w:pPr>
            <w:r>
              <w:rPr>
                <w:rFonts w:ascii="Arial" w:cs="Arial" w:eastAsia="Arial" w:hAnsi="Arial"/>
                <w:sz w:val="11"/>
                <w:szCs w:val="11"/>
                <w:color w:val="auto"/>
              </w:rPr>
              <w:t>Subordinated notes, net of unamortized issuance costs</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227,967</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227,723</w:t>
            </w:r>
          </w:p>
        </w:tc>
        <w:tc>
          <w:tcPr>
            <w:tcW w:w="0" w:type="dxa"/>
            <w:vAlign w:val="bottom"/>
          </w:tcPr>
          <w:p>
            <w:pPr>
              <w:spacing w:after="0"/>
              <w:rPr>
                <w:sz w:val="1"/>
                <w:szCs w:val="1"/>
                <w:color w:val="auto"/>
              </w:rPr>
            </w:pPr>
          </w:p>
        </w:tc>
      </w:tr>
      <w:tr>
        <w:trPr>
          <w:trHeight w:val="149"/>
        </w:trPr>
        <w:tc>
          <w:tcPr>
            <w:tcW w:w="8440" w:type="dxa"/>
            <w:vAlign w:val="bottom"/>
            <w:gridSpan w:val="6"/>
          </w:tcPr>
          <w:p>
            <w:pPr>
              <w:ind w:left="260"/>
              <w:spacing w:after="0"/>
              <w:rPr>
                <w:sz w:val="20"/>
                <w:szCs w:val="20"/>
                <w:color w:val="auto"/>
              </w:rPr>
            </w:pPr>
            <w:r>
              <w:rPr>
                <w:rFonts w:ascii="Arial" w:cs="Arial" w:eastAsia="Arial" w:hAnsi="Arial"/>
                <w:sz w:val="11"/>
                <w:szCs w:val="11"/>
                <w:color w:val="auto"/>
              </w:rPr>
              <w:t>Junior subordinated debt owed to unconsolidated trusts</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77,117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74,815</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260"/>
              <w:spacing w:after="0"/>
              <w:rPr>
                <w:sz w:val="20"/>
                <w:szCs w:val="20"/>
                <w:color w:val="auto"/>
              </w:rPr>
            </w:pPr>
            <w:r>
              <w:rPr>
                <w:rFonts w:ascii="Arial" w:cs="Arial" w:eastAsia="Arial" w:hAnsi="Arial"/>
                <w:sz w:val="11"/>
                <w:szCs w:val="11"/>
                <w:color w:val="auto"/>
              </w:rPr>
              <w:t>Lease liabilities</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41,111</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11,040</w:t>
            </w:r>
          </w:p>
        </w:tc>
        <w:tc>
          <w:tcPr>
            <w:tcW w:w="0" w:type="dxa"/>
            <w:vAlign w:val="bottom"/>
          </w:tcPr>
          <w:p>
            <w:pPr>
              <w:spacing w:after="0"/>
              <w:rPr>
                <w:sz w:val="1"/>
                <w:szCs w:val="1"/>
                <w:color w:val="auto"/>
              </w:rPr>
            </w:pPr>
          </w:p>
        </w:tc>
      </w:tr>
      <w:tr>
        <w:trPr>
          <w:trHeight w:val="149"/>
        </w:trPr>
        <w:tc>
          <w:tcPr>
            <w:tcW w:w="8440" w:type="dxa"/>
            <w:vAlign w:val="bottom"/>
            <w:tcBorders>
              <w:bottom w:val="single" w:sz="8" w:color="E0E7ED"/>
            </w:tcBorders>
            <w:gridSpan w:val="6"/>
          </w:tcPr>
          <w:p>
            <w:pPr>
              <w:ind w:left="260"/>
              <w:spacing w:after="0"/>
              <w:rPr>
                <w:sz w:val="20"/>
                <w:szCs w:val="20"/>
                <w:color w:val="auto"/>
              </w:rPr>
            </w:pPr>
            <w:r>
              <w:rPr>
                <w:rFonts w:ascii="Arial" w:cs="Arial" w:eastAsia="Arial" w:hAnsi="Arial"/>
                <w:sz w:val="11"/>
                <w:szCs w:val="11"/>
                <w:color w:val="auto"/>
              </w:rPr>
              <w:t>Other liabilities</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251,890</w:t>
            </w:r>
          </w:p>
        </w:tc>
        <w:tc>
          <w:tcPr>
            <w:tcW w:w="8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211,775</w:t>
            </w:r>
          </w:p>
        </w:tc>
        <w:tc>
          <w:tcPr>
            <w:tcW w:w="0" w:type="dxa"/>
            <w:vAlign w:val="bottom"/>
          </w:tcPr>
          <w:p>
            <w:pPr>
              <w:spacing w:after="0"/>
              <w:rPr>
                <w:sz w:val="1"/>
                <w:szCs w:val="1"/>
                <w:color w:val="auto"/>
              </w:rPr>
            </w:pPr>
          </w:p>
        </w:tc>
      </w:tr>
      <w:tr>
        <w:trPr>
          <w:trHeight w:val="139"/>
        </w:trPr>
        <w:tc>
          <w:tcPr>
            <w:tcW w:w="8440" w:type="dxa"/>
            <w:vAlign w:val="bottom"/>
            <w:gridSpan w:val="6"/>
            <w:shd w:val="clear" w:color="auto" w:fill="E0E7ED"/>
          </w:tcPr>
          <w:p>
            <w:pPr>
              <w:ind w:left="140"/>
              <w:spacing w:after="0"/>
              <w:rPr>
                <w:sz w:val="20"/>
                <w:szCs w:val="20"/>
                <w:color w:val="auto"/>
              </w:rPr>
            </w:pPr>
            <w:r>
              <w:rPr>
                <w:rFonts w:ascii="Arial" w:cs="Arial" w:eastAsia="Arial" w:hAnsi="Arial"/>
                <w:sz w:val="11"/>
                <w:szCs w:val="11"/>
                <w:color w:val="auto"/>
              </w:rPr>
              <w:t>Total liabilities</w:t>
            </w:r>
          </w:p>
        </w:tc>
        <w:tc>
          <w:tcPr>
            <w:tcW w:w="240" w:type="dxa"/>
            <w:vAlign w:val="bottom"/>
            <w:tcBorders>
              <w:bottom w:val="single" w:sz="8" w:color="auto"/>
            </w:tcBorders>
            <w:shd w:val="clear" w:color="auto" w:fill="E0E7ED"/>
          </w:tcPr>
          <w:p>
            <w:pPr>
              <w:spacing w:after="0"/>
              <w:rPr>
                <w:sz w:val="12"/>
                <w:szCs w:val="12"/>
                <w:color w:val="auto"/>
              </w:rPr>
            </w:pPr>
          </w:p>
        </w:tc>
        <w:tc>
          <w:tcPr>
            <w:tcW w:w="112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17,284,646</w:t>
            </w:r>
          </w:p>
        </w:tc>
        <w:tc>
          <w:tcPr>
            <w:tcW w:w="80" w:type="dxa"/>
            <w:vAlign w:val="bottom"/>
            <w:shd w:val="clear" w:color="auto" w:fill="E0E7ED"/>
          </w:tcPr>
          <w:p>
            <w:pPr>
              <w:spacing w:after="0"/>
              <w:rPr>
                <w:sz w:val="12"/>
                <w:szCs w:val="12"/>
                <w:color w:val="auto"/>
              </w:rPr>
            </w:pPr>
          </w:p>
        </w:tc>
        <w:tc>
          <w:tcPr>
            <w:tcW w:w="22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10,663,453</w:t>
            </w:r>
          </w:p>
        </w:tc>
        <w:tc>
          <w:tcPr>
            <w:tcW w:w="0" w:type="dxa"/>
            <w:vAlign w:val="bottom"/>
          </w:tcPr>
          <w:p>
            <w:pPr>
              <w:spacing w:after="0"/>
              <w:rPr>
                <w:sz w:val="1"/>
                <w:szCs w:val="1"/>
                <w:color w:val="auto"/>
              </w:rPr>
            </w:pPr>
          </w:p>
        </w:tc>
      </w:tr>
      <w:tr>
        <w:trPr>
          <w:trHeight w:val="107"/>
        </w:trPr>
        <w:tc>
          <w:tcPr>
            <w:tcW w:w="3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440" w:type="dxa"/>
            <w:vAlign w:val="bottom"/>
            <w:gridSpan w:val="6"/>
            <w:shd w:val="clear" w:color="auto" w:fill="E0E7ED"/>
          </w:tcPr>
          <w:p>
            <w:pPr>
              <w:ind w:left="140"/>
              <w:spacing w:after="0"/>
              <w:rPr>
                <w:sz w:val="20"/>
                <w:szCs w:val="20"/>
                <w:color w:val="auto"/>
              </w:rPr>
            </w:pPr>
            <w:r>
              <w:rPr>
                <w:rFonts w:ascii="Arial" w:cs="Arial" w:eastAsia="Arial" w:hAnsi="Arial"/>
                <w:sz w:val="11"/>
                <w:szCs w:val="11"/>
                <w:color w:val="auto"/>
              </w:rPr>
              <w:t xml:space="preserve">Outstanding commitments and contingent liabilities (see Notes </w:t>
            </w:r>
            <w:r>
              <w:rPr>
                <w:rFonts w:ascii="Arial" w:cs="Arial" w:eastAsia="Arial" w:hAnsi="Arial"/>
                <w:sz w:val="11"/>
                <w:szCs w:val="11"/>
                <w:color w:val="0000FF"/>
              </w:rPr>
              <w:t>5</w:t>
            </w:r>
            <w:r>
              <w:rPr>
                <w:rFonts w:ascii="Arial" w:cs="Arial" w:eastAsia="Arial" w:hAnsi="Arial"/>
                <w:sz w:val="11"/>
                <w:szCs w:val="11"/>
                <w:color w:val="auto"/>
              </w:rPr>
              <w:t xml:space="preserve"> and </w:t>
            </w:r>
            <w:r>
              <w:rPr>
                <w:rFonts w:ascii="Arial" w:cs="Arial" w:eastAsia="Arial" w:hAnsi="Arial"/>
                <w:sz w:val="11"/>
                <w:szCs w:val="11"/>
                <w:color w:val="0000FF"/>
              </w:rPr>
              <w:t>11</w:t>
            </w:r>
            <w:r>
              <w:rPr>
                <w:rFonts w:ascii="Arial" w:cs="Arial" w:eastAsia="Arial" w:hAnsi="Arial"/>
                <w:sz w:val="11"/>
                <w:szCs w:val="11"/>
                <w:color w:val="auto"/>
              </w:rPr>
              <w:t>)</w:t>
            </w:r>
          </w:p>
        </w:tc>
        <w:tc>
          <w:tcPr>
            <w:tcW w:w="240" w:type="dxa"/>
            <w:vAlign w:val="bottom"/>
            <w:shd w:val="clear" w:color="auto" w:fill="E0E7ED"/>
          </w:tcPr>
          <w:p>
            <w:pPr>
              <w:spacing w:after="0"/>
              <w:rPr>
                <w:sz w:val="11"/>
                <w:szCs w:val="11"/>
                <w:color w:val="auto"/>
              </w:rPr>
            </w:pPr>
          </w:p>
        </w:tc>
        <w:tc>
          <w:tcPr>
            <w:tcW w:w="112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1160" w:type="dxa"/>
            <w:vAlign w:val="bottom"/>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300" w:type="dxa"/>
            <w:vAlign w:val="bottom"/>
            <w:tcBorders>
              <w:top w:val="single" w:sz="8" w:color="E0E7ED"/>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E0E7ED"/>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620" w:type="dxa"/>
            <w:vAlign w:val="bottom"/>
            <w:tcBorders>
              <w:top w:val="single" w:sz="8" w:color="E0E7ED"/>
            </w:tcBorders>
          </w:tcPr>
          <w:p>
            <w:pPr>
              <w:spacing w:after="0"/>
              <w:rPr>
                <w:sz w:val="11"/>
                <w:szCs w:val="11"/>
                <w:color w:val="auto"/>
              </w:rPr>
            </w:pPr>
          </w:p>
        </w:tc>
        <w:tc>
          <w:tcPr>
            <w:tcW w:w="100" w:type="dxa"/>
            <w:vAlign w:val="bottom"/>
            <w:tcBorders>
              <w:top w:val="single" w:sz="8" w:color="E0E7ED"/>
            </w:tcBorders>
          </w:tcPr>
          <w:p>
            <w:pPr>
              <w:spacing w:after="0"/>
              <w:rPr>
                <w:sz w:val="11"/>
                <w:szCs w:val="11"/>
                <w:color w:val="auto"/>
              </w:rPr>
            </w:pPr>
          </w:p>
        </w:tc>
        <w:tc>
          <w:tcPr>
            <w:tcW w:w="240" w:type="dxa"/>
            <w:vAlign w:val="bottom"/>
            <w:tcBorders>
              <w:top w:val="single" w:sz="8" w:color="E0E7ED"/>
            </w:tcBorders>
          </w:tcPr>
          <w:p>
            <w:pPr>
              <w:spacing w:after="0"/>
              <w:rPr>
                <w:sz w:val="11"/>
                <w:szCs w:val="11"/>
                <w:color w:val="auto"/>
              </w:rPr>
            </w:pPr>
          </w:p>
        </w:tc>
        <w:tc>
          <w:tcPr>
            <w:tcW w:w="1120" w:type="dxa"/>
            <w:vAlign w:val="bottom"/>
            <w:tcBorders>
              <w:top w:val="single" w:sz="8" w:color="E0E7ED"/>
            </w:tcBorders>
          </w:tcPr>
          <w:p>
            <w:pPr>
              <w:spacing w:after="0"/>
              <w:rPr>
                <w:sz w:val="11"/>
                <w:szCs w:val="11"/>
                <w:color w:val="auto"/>
              </w:rPr>
            </w:pPr>
          </w:p>
        </w:tc>
        <w:tc>
          <w:tcPr>
            <w:tcW w:w="80" w:type="dxa"/>
            <w:vAlign w:val="bottom"/>
            <w:tcBorders>
              <w:top w:val="single" w:sz="8" w:color="E0E7ED"/>
            </w:tcBorders>
          </w:tcPr>
          <w:p>
            <w:pPr>
              <w:spacing w:after="0"/>
              <w:rPr>
                <w:sz w:val="11"/>
                <w:szCs w:val="11"/>
                <w:color w:val="auto"/>
              </w:rPr>
            </w:pPr>
          </w:p>
        </w:tc>
        <w:tc>
          <w:tcPr>
            <w:tcW w:w="220" w:type="dxa"/>
            <w:vAlign w:val="bottom"/>
            <w:tcBorders>
              <w:top w:val="single" w:sz="8" w:color="E0E7ED"/>
            </w:tcBorders>
          </w:tcPr>
          <w:p>
            <w:pPr>
              <w:spacing w:after="0"/>
              <w:rPr>
                <w:sz w:val="11"/>
                <w:szCs w:val="11"/>
                <w:color w:val="auto"/>
              </w:rPr>
            </w:pPr>
          </w:p>
        </w:tc>
        <w:tc>
          <w:tcPr>
            <w:tcW w:w="1160" w:type="dxa"/>
            <w:vAlign w:val="bottom"/>
            <w:tcBorders>
              <w:top w:val="single" w:sz="8" w:color="E0E7ED"/>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140"/>
              <w:spacing w:after="0"/>
              <w:rPr>
                <w:sz w:val="20"/>
                <w:szCs w:val="20"/>
                <w:color w:val="auto"/>
              </w:rPr>
            </w:pPr>
            <w:r>
              <w:rPr>
                <w:rFonts w:ascii="Arial" w:cs="Arial" w:eastAsia="Arial" w:hAnsi="Arial"/>
                <w:sz w:val="11"/>
                <w:szCs w:val="11"/>
                <w:b w:val="1"/>
                <w:bCs w:val="1"/>
                <w:color w:val="auto"/>
              </w:rPr>
              <w:t>Stockholders’ equity</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gridSpan w:val="6"/>
          </w:tcPr>
          <w:p>
            <w:pPr>
              <w:ind w:left="260"/>
              <w:spacing w:after="0"/>
              <w:rPr>
                <w:sz w:val="20"/>
                <w:szCs w:val="20"/>
                <w:color w:val="auto"/>
              </w:rPr>
            </w:pPr>
            <w:r>
              <w:rPr>
                <w:rFonts w:ascii="Arial" w:cs="Arial" w:eastAsia="Arial" w:hAnsi="Arial"/>
                <w:sz w:val="11"/>
                <w:szCs w:val="11"/>
                <w:color w:val="auto"/>
              </w:rPr>
              <w:t>Common stock ($0.001 par value; 200,000,000 shares authorized at March 31, 2025, and 100,000,000 shares authorized at December 31, 2024)</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260"/>
              <w:spacing w:after="0"/>
              <w:rPr>
                <w:sz w:val="20"/>
                <w:szCs w:val="20"/>
                <w:color w:val="auto"/>
              </w:rPr>
            </w:pPr>
            <w:r>
              <w:rPr>
                <w:rFonts w:ascii="Arial" w:cs="Arial" w:eastAsia="Arial" w:hAnsi="Arial"/>
                <w:sz w:val="11"/>
                <w:szCs w:val="11"/>
                <w:color w:val="auto"/>
              </w:rPr>
              <w:t>Additional paid-in capital</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2,167,275</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1,360,530</w:t>
            </w:r>
          </w:p>
        </w:tc>
        <w:tc>
          <w:tcPr>
            <w:tcW w:w="0" w:type="dxa"/>
            <w:vAlign w:val="bottom"/>
          </w:tcPr>
          <w:p>
            <w:pPr>
              <w:spacing w:after="0"/>
              <w:rPr>
                <w:sz w:val="1"/>
                <w:szCs w:val="1"/>
                <w:color w:val="auto"/>
              </w:rPr>
            </w:pPr>
          </w:p>
        </w:tc>
      </w:tr>
      <w:tr>
        <w:trPr>
          <w:trHeight w:val="149"/>
        </w:trPr>
        <w:tc>
          <w:tcPr>
            <w:tcW w:w="8440" w:type="dxa"/>
            <w:vAlign w:val="bottom"/>
            <w:gridSpan w:val="6"/>
          </w:tcPr>
          <w:p>
            <w:pPr>
              <w:ind w:left="260"/>
              <w:spacing w:after="0"/>
              <w:rPr>
                <w:sz w:val="20"/>
                <w:szCs w:val="20"/>
                <w:color w:val="auto"/>
              </w:rPr>
            </w:pPr>
            <w:r>
              <w:rPr>
                <w:rFonts w:ascii="Arial" w:cs="Arial" w:eastAsia="Arial" w:hAnsi="Arial"/>
                <w:sz w:val="11"/>
                <w:szCs w:val="11"/>
                <w:color w:val="auto"/>
              </w:rPr>
              <w:t>Retained earnings</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249,484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294,054</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260"/>
              <w:spacing w:after="0"/>
              <w:rPr>
                <w:sz w:val="20"/>
                <w:szCs w:val="20"/>
                <w:color w:val="auto"/>
              </w:rPr>
            </w:pPr>
            <w:r>
              <w:rPr>
                <w:rFonts w:ascii="Arial" w:cs="Arial" w:eastAsia="Arial" w:hAnsi="Arial"/>
                <w:sz w:val="11"/>
                <w:szCs w:val="11"/>
                <w:color w:val="auto"/>
              </w:rPr>
              <w:t>AOCI</w:t>
            </w:r>
          </w:p>
        </w:tc>
        <w:tc>
          <w:tcPr>
            <w:tcW w:w="240" w:type="dxa"/>
            <w:vAlign w:val="bottom"/>
            <w:tcBorders>
              <w:bottom w:val="single" w:sz="8" w:color="auto"/>
            </w:tcBorders>
            <w:shd w:val="clear" w:color="auto" w:fill="E0E7ED"/>
          </w:tcPr>
          <w:p>
            <w:pPr>
              <w:spacing w:after="0"/>
              <w:rPr>
                <w:sz w:val="12"/>
                <w:szCs w:val="12"/>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(172,810)</w:t>
            </w:r>
          </w:p>
        </w:tc>
        <w:tc>
          <w:tcPr>
            <w:tcW w:w="80" w:type="dxa"/>
            <w:vAlign w:val="bottom"/>
            <w:shd w:val="clear" w:color="auto" w:fill="E0E7ED"/>
          </w:tcPr>
          <w:p>
            <w:pPr>
              <w:spacing w:after="0"/>
              <w:rPr>
                <w:sz w:val="12"/>
                <w:szCs w:val="12"/>
                <w:color w:val="auto"/>
              </w:rPr>
            </w:pPr>
          </w:p>
        </w:tc>
        <w:tc>
          <w:tcPr>
            <w:tcW w:w="22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(207,039)</w:t>
            </w:r>
          </w:p>
        </w:tc>
        <w:tc>
          <w:tcPr>
            <w:tcW w:w="0" w:type="dxa"/>
            <w:vAlign w:val="bottom"/>
          </w:tcPr>
          <w:p>
            <w:pPr>
              <w:spacing w:after="0"/>
              <w:rPr>
                <w:sz w:val="1"/>
                <w:szCs w:val="1"/>
                <w:color w:val="auto"/>
              </w:rPr>
            </w:pPr>
          </w:p>
        </w:tc>
      </w:tr>
      <w:tr>
        <w:trPr>
          <w:trHeight w:val="139"/>
        </w:trPr>
        <w:tc>
          <w:tcPr>
            <w:tcW w:w="8440" w:type="dxa"/>
            <w:vAlign w:val="bottom"/>
            <w:gridSpan w:val="6"/>
          </w:tcPr>
          <w:p>
            <w:pPr>
              <w:ind w:left="260"/>
              <w:spacing w:after="0"/>
              <w:rPr>
                <w:sz w:val="20"/>
                <w:szCs w:val="20"/>
                <w:color w:val="auto"/>
              </w:rPr>
            </w:pPr>
            <w:r>
              <w:rPr>
                <w:rFonts w:ascii="Arial" w:cs="Arial" w:eastAsia="Arial" w:hAnsi="Arial"/>
                <w:sz w:val="11"/>
                <w:szCs w:val="11"/>
                <w:color w:val="auto"/>
              </w:rPr>
              <w:t>Total stockholders’ equity before treasury stock</w:t>
            </w:r>
          </w:p>
        </w:tc>
        <w:tc>
          <w:tcPr>
            <w:tcW w:w="24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2,244,042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1,447,605</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260"/>
              <w:spacing w:after="0"/>
              <w:rPr>
                <w:sz w:val="20"/>
                <w:szCs w:val="20"/>
                <w:color w:val="auto"/>
              </w:rPr>
            </w:pPr>
            <w:r>
              <w:rPr>
                <w:rFonts w:ascii="Arial" w:cs="Arial" w:eastAsia="Arial" w:hAnsi="Arial"/>
                <w:sz w:val="11"/>
                <w:szCs w:val="11"/>
                <w:color w:val="auto"/>
              </w:rPr>
              <w:t>Treasury stock at cost</w:t>
            </w:r>
          </w:p>
        </w:tc>
        <w:tc>
          <w:tcPr>
            <w:tcW w:w="240" w:type="dxa"/>
            <w:vAlign w:val="bottom"/>
            <w:tcBorders>
              <w:bottom w:val="single" w:sz="8" w:color="auto"/>
            </w:tcBorders>
            <w:shd w:val="clear" w:color="auto" w:fill="E0E7ED"/>
          </w:tcPr>
          <w:p>
            <w:pPr>
              <w:spacing w:after="0"/>
              <w:rPr>
                <w:sz w:val="12"/>
                <w:szCs w:val="12"/>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(64,436)</w:t>
            </w:r>
          </w:p>
        </w:tc>
        <w:tc>
          <w:tcPr>
            <w:tcW w:w="80" w:type="dxa"/>
            <w:vAlign w:val="bottom"/>
            <w:shd w:val="clear" w:color="auto" w:fill="E0E7ED"/>
          </w:tcPr>
          <w:p>
            <w:pPr>
              <w:spacing w:after="0"/>
              <w:rPr>
                <w:sz w:val="12"/>
                <w:szCs w:val="12"/>
                <w:color w:val="auto"/>
              </w:rPr>
            </w:pPr>
          </w:p>
        </w:tc>
        <w:tc>
          <w:tcPr>
            <w:tcW w:w="22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(64,336)</w:t>
            </w:r>
          </w:p>
        </w:tc>
        <w:tc>
          <w:tcPr>
            <w:tcW w:w="0" w:type="dxa"/>
            <w:vAlign w:val="bottom"/>
          </w:tcPr>
          <w:p>
            <w:pPr>
              <w:spacing w:after="0"/>
              <w:rPr>
                <w:sz w:val="1"/>
                <w:szCs w:val="1"/>
                <w:color w:val="auto"/>
              </w:rPr>
            </w:pPr>
          </w:p>
        </w:tc>
      </w:tr>
      <w:tr>
        <w:trPr>
          <w:trHeight w:val="139"/>
        </w:trPr>
        <w:tc>
          <w:tcPr>
            <w:tcW w:w="8440" w:type="dxa"/>
            <w:vAlign w:val="bottom"/>
            <w:tcBorders>
              <w:bottom w:val="single" w:sz="8" w:color="E0E7ED"/>
            </w:tcBorders>
            <w:gridSpan w:val="6"/>
          </w:tcPr>
          <w:p>
            <w:pPr>
              <w:ind w:left="140"/>
              <w:spacing w:after="0"/>
              <w:rPr>
                <w:sz w:val="20"/>
                <w:szCs w:val="20"/>
                <w:color w:val="auto"/>
              </w:rPr>
            </w:pPr>
            <w:r>
              <w:rPr>
                <w:rFonts w:ascii="Arial" w:cs="Arial" w:eastAsia="Arial" w:hAnsi="Arial"/>
                <w:sz w:val="11"/>
                <w:szCs w:val="11"/>
                <w:color w:val="auto"/>
              </w:rPr>
              <w:t>Total stockholders’ equity</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2,179,606</w:t>
            </w:r>
          </w:p>
        </w:tc>
        <w:tc>
          <w:tcPr>
            <w:tcW w:w="8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1,383,269</w:t>
            </w:r>
          </w:p>
        </w:tc>
        <w:tc>
          <w:tcPr>
            <w:tcW w:w="0" w:type="dxa"/>
            <w:vAlign w:val="bottom"/>
          </w:tcPr>
          <w:p>
            <w:pPr>
              <w:spacing w:after="0"/>
              <w:rPr>
                <w:sz w:val="1"/>
                <w:szCs w:val="1"/>
                <w:color w:val="auto"/>
              </w:rPr>
            </w:pPr>
          </w:p>
        </w:tc>
      </w:tr>
      <w:tr>
        <w:trPr>
          <w:trHeight w:val="164"/>
        </w:trPr>
        <w:tc>
          <w:tcPr>
            <w:tcW w:w="8440" w:type="dxa"/>
            <w:vAlign w:val="bottom"/>
            <w:tcBorders>
              <w:bottom w:val="single" w:sz="8" w:color="E0E7ED"/>
            </w:tcBorders>
            <w:gridSpan w:val="6"/>
            <w:shd w:val="clear" w:color="auto" w:fill="E0E7ED"/>
          </w:tcPr>
          <w:p>
            <w:pPr>
              <w:spacing w:after="0"/>
              <w:rPr>
                <w:sz w:val="20"/>
                <w:szCs w:val="20"/>
                <w:color w:val="auto"/>
              </w:rPr>
            </w:pPr>
            <w:r>
              <w:rPr>
                <w:rFonts w:ascii="Arial" w:cs="Arial" w:eastAsia="Arial" w:hAnsi="Arial"/>
                <w:sz w:val="11"/>
                <w:szCs w:val="11"/>
                <w:color w:val="auto"/>
              </w:rPr>
              <w:t>Total liabilities and stockholders’ equity</w:t>
            </w:r>
          </w:p>
        </w:tc>
        <w:tc>
          <w:tcPr>
            <w:tcW w:w="240" w:type="dxa"/>
            <w:vAlign w:val="bottom"/>
            <w:tcBorders>
              <w:bottom w:val="single" w:sz="8" w:color="auto"/>
            </w:tcBorders>
            <w:shd w:val="clear" w:color="auto" w:fill="E0E7ED"/>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19,464,252</w:t>
            </w:r>
          </w:p>
        </w:tc>
        <w:tc>
          <w:tcPr>
            <w:tcW w:w="80" w:type="dxa"/>
            <w:vAlign w:val="bottom"/>
            <w:tcBorders>
              <w:bottom w:val="single" w:sz="8" w:color="E0E7ED"/>
            </w:tcBorders>
            <w:shd w:val="clear" w:color="auto" w:fill="E0E7ED"/>
          </w:tcPr>
          <w:p>
            <w:pPr>
              <w:spacing w:after="0"/>
              <w:rPr>
                <w:sz w:val="13"/>
                <w:szCs w:val="13"/>
                <w:color w:val="auto"/>
              </w:rPr>
            </w:pPr>
          </w:p>
        </w:tc>
        <w:tc>
          <w:tcPr>
            <w:tcW w:w="220" w:type="dxa"/>
            <w:vAlign w:val="bottom"/>
            <w:tcBorders>
              <w:bottom w:val="single" w:sz="8" w:color="auto"/>
            </w:tcBorders>
            <w:shd w:val="clear" w:color="auto" w:fill="E0E7ED"/>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12,046,722</w:t>
            </w:r>
          </w:p>
        </w:tc>
        <w:tc>
          <w:tcPr>
            <w:tcW w:w="0" w:type="dxa"/>
            <w:vAlign w:val="bottom"/>
          </w:tcPr>
          <w:p>
            <w:pPr>
              <w:spacing w:after="0"/>
              <w:rPr>
                <w:sz w:val="1"/>
                <w:szCs w:val="1"/>
                <w:color w:val="auto"/>
              </w:rPr>
            </w:pPr>
          </w:p>
        </w:tc>
      </w:tr>
      <w:tr>
        <w:trPr>
          <w:trHeight w:val="20"/>
        </w:trPr>
        <w:tc>
          <w:tcPr>
            <w:tcW w:w="330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46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spacing w:after="0"/>
              <w:rPr>
                <w:sz w:val="20"/>
                <w:szCs w:val="20"/>
                <w:color w:val="auto"/>
              </w:rPr>
            </w:pPr>
            <w:r>
              <w:rPr>
                <w:rFonts w:ascii="Arial" w:cs="Arial" w:eastAsia="Arial" w:hAnsi="Arial"/>
                <w:sz w:val="11"/>
                <w:szCs w:val="11"/>
                <w:b w:val="1"/>
                <w:bCs w:val="1"/>
                <w:color w:val="auto"/>
              </w:rPr>
              <w:t>Shares</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gridSpan w:val="6"/>
          </w:tcPr>
          <w:p>
            <w:pPr>
              <w:ind w:left="140"/>
              <w:spacing w:after="0"/>
              <w:rPr>
                <w:sz w:val="20"/>
                <w:szCs w:val="20"/>
                <w:color w:val="auto"/>
              </w:rPr>
            </w:pPr>
            <w:r>
              <w:rPr>
                <w:rFonts w:ascii="Arial" w:cs="Arial" w:eastAsia="Arial" w:hAnsi="Arial"/>
                <w:sz w:val="11"/>
                <w:szCs w:val="11"/>
                <w:color w:val="auto"/>
              </w:rPr>
              <w:t>Preferred shares issued and outstanding ($0.001 par value; 1,000,000 shares authorized)</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7,750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140"/>
              <w:spacing w:after="0"/>
              <w:rPr>
                <w:sz w:val="20"/>
                <w:szCs w:val="20"/>
                <w:color w:val="auto"/>
              </w:rPr>
            </w:pPr>
            <w:r>
              <w:rPr>
                <w:rFonts w:ascii="Arial" w:cs="Arial" w:eastAsia="Arial" w:hAnsi="Arial"/>
                <w:sz w:val="11"/>
                <w:szCs w:val="11"/>
                <w:color w:val="auto"/>
              </w:rPr>
              <w:t>Common shares:</w:t>
            </w:r>
          </w:p>
        </w:tc>
        <w:tc>
          <w:tcPr>
            <w:tcW w:w="240" w:type="dxa"/>
            <w:vAlign w:val="bottom"/>
            <w:shd w:val="clear" w:color="auto" w:fill="E0E7ED"/>
          </w:tcPr>
          <w:p>
            <w:pPr>
              <w:spacing w:after="0"/>
              <w:rPr>
                <w:sz w:val="12"/>
                <w:szCs w:val="12"/>
                <w:color w:val="auto"/>
              </w:rPr>
            </w:pPr>
          </w:p>
        </w:tc>
        <w:tc>
          <w:tcPr>
            <w:tcW w:w="11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gridSpan w:val="6"/>
          </w:tcPr>
          <w:p>
            <w:pPr>
              <w:ind w:left="260"/>
              <w:spacing w:after="0"/>
              <w:rPr>
                <w:sz w:val="20"/>
                <w:szCs w:val="20"/>
                <w:color w:val="auto"/>
              </w:rPr>
            </w:pPr>
            <w:r>
              <w:rPr>
                <w:rFonts w:ascii="Arial" w:cs="Arial" w:eastAsia="Arial" w:hAnsi="Arial"/>
                <w:sz w:val="11"/>
                <w:szCs w:val="11"/>
                <w:color w:val="auto"/>
              </w:rPr>
              <w:t>Issued</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92,694,541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59,546,273</w:t>
            </w:r>
          </w:p>
        </w:tc>
        <w:tc>
          <w:tcPr>
            <w:tcW w:w="0" w:type="dxa"/>
            <w:vAlign w:val="bottom"/>
          </w:tcPr>
          <w:p>
            <w:pPr>
              <w:spacing w:after="0"/>
              <w:rPr>
                <w:sz w:val="1"/>
                <w:szCs w:val="1"/>
                <w:color w:val="auto"/>
              </w:rPr>
            </w:pPr>
          </w:p>
        </w:tc>
      </w:tr>
      <w:tr>
        <w:trPr>
          <w:trHeight w:val="149"/>
        </w:trPr>
        <w:tc>
          <w:tcPr>
            <w:tcW w:w="8440" w:type="dxa"/>
            <w:vAlign w:val="bottom"/>
            <w:gridSpan w:val="6"/>
            <w:shd w:val="clear" w:color="auto" w:fill="E0E7ED"/>
          </w:tcPr>
          <w:p>
            <w:pPr>
              <w:ind w:left="260"/>
              <w:spacing w:after="0"/>
              <w:rPr>
                <w:sz w:val="20"/>
                <w:szCs w:val="20"/>
                <w:color w:val="auto"/>
              </w:rPr>
            </w:pPr>
            <w:r>
              <w:rPr>
                <w:rFonts w:ascii="Arial" w:cs="Arial" w:eastAsia="Arial" w:hAnsi="Arial"/>
                <w:sz w:val="11"/>
                <w:szCs w:val="11"/>
                <w:color w:val="auto"/>
              </w:rPr>
              <w:t>Less: Treasury</w:t>
            </w:r>
          </w:p>
        </w:tc>
        <w:tc>
          <w:tcPr>
            <w:tcW w:w="240" w:type="dxa"/>
            <w:vAlign w:val="bottom"/>
            <w:tcBorders>
              <w:bottom w:val="single" w:sz="8" w:color="auto"/>
            </w:tcBorders>
            <w:shd w:val="clear" w:color="auto" w:fill="E0E7ED"/>
          </w:tcPr>
          <w:p>
            <w:pPr>
              <w:spacing w:after="0"/>
              <w:rPr>
                <w:sz w:val="12"/>
                <w:szCs w:val="12"/>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2,686,363</w:t>
            </w:r>
          </w:p>
        </w:tc>
        <w:tc>
          <w:tcPr>
            <w:tcW w:w="80" w:type="dxa"/>
            <w:vAlign w:val="bottom"/>
            <w:shd w:val="clear" w:color="auto" w:fill="E0E7ED"/>
          </w:tcPr>
          <w:p>
            <w:pPr>
              <w:spacing w:after="0"/>
              <w:rPr>
                <w:sz w:val="12"/>
                <w:szCs w:val="12"/>
                <w:color w:val="auto"/>
              </w:rPr>
            </w:pPr>
          </w:p>
        </w:tc>
        <w:tc>
          <w:tcPr>
            <w:tcW w:w="22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2,650,292</w:t>
            </w:r>
          </w:p>
        </w:tc>
        <w:tc>
          <w:tcPr>
            <w:tcW w:w="0" w:type="dxa"/>
            <w:vAlign w:val="bottom"/>
          </w:tcPr>
          <w:p>
            <w:pPr>
              <w:spacing w:after="0"/>
              <w:rPr>
                <w:sz w:val="1"/>
                <w:szCs w:val="1"/>
                <w:color w:val="auto"/>
              </w:rPr>
            </w:pPr>
          </w:p>
        </w:tc>
      </w:tr>
      <w:tr>
        <w:trPr>
          <w:trHeight w:val="139"/>
        </w:trPr>
        <w:tc>
          <w:tcPr>
            <w:tcW w:w="8440" w:type="dxa"/>
            <w:vAlign w:val="bottom"/>
            <w:gridSpan w:val="6"/>
          </w:tcPr>
          <w:p>
            <w:pPr>
              <w:ind w:left="260"/>
              <w:spacing w:after="0"/>
              <w:rPr>
                <w:sz w:val="20"/>
                <w:szCs w:val="20"/>
                <w:color w:val="auto"/>
              </w:rPr>
            </w:pPr>
            <w:r>
              <w:rPr>
                <w:rFonts w:ascii="Arial" w:cs="Arial" w:eastAsia="Arial" w:hAnsi="Arial"/>
                <w:sz w:val="11"/>
                <w:szCs w:val="11"/>
                <w:color w:val="auto"/>
              </w:rPr>
              <w:t>Outstanding</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90,008,178</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56,895,981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 to Consolidated Financial Statements (Unaudited)</w:t>
      </w:r>
      <w:r>
        <w:rPr>
          <w:rFonts w:ascii="Arial" w:cs="Arial" w:eastAsia="Arial" w:hAnsi="Arial"/>
          <w:sz w:val="14"/>
          <w:szCs w:val="14"/>
          <w:color w:val="auto"/>
        </w:rPr>
        <w:t>.</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 (LOSS)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(dollars in thousands, except per share amounts)</w:t>
            </w:r>
          </w:p>
        </w:tc>
        <w:tc>
          <w:tcPr>
            <w:tcW w:w="8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2024</w:t>
            </w:r>
          </w:p>
        </w:tc>
      </w:tr>
      <w:tr>
        <w:trPr>
          <w:trHeight w:val="139"/>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Interest income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Interest and fees on loans</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139,533</w:t>
            </w:r>
          </w:p>
        </w:tc>
        <w:tc>
          <w:tcPr>
            <w:tcW w:w="100" w:type="dxa"/>
            <w:vAlign w:val="bottom"/>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99,325</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Interest and dividends on investment securities: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r>
      <w:tr>
        <w:trPr>
          <w:trHeight w:val="149"/>
        </w:trPr>
        <w:tc>
          <w:tcPr>
            <w:tcW w:w="8460" w:type="dxa"/>
            <w:vAlign w:val="bottom"/>
            <w:gridSpan w:val="2"/>
          </w:tcPr>
          <w:p>
            <w:pPr>
              <w:ind w:left="280"/>
              <w:spacing w:after="0"/>
              <w:rPr>
                <w:sz w:val="20"/>
                <w:szCs w:val="20"/>
                <w:color w:val="auto"/>
              </w:rPr>
            </w:pPr>
            <w:r>
              <w:rPr>
                <w:rFonts w:ascii="Arial" w:cs="Arial" w:eastAsia="Arial" w:hAnsi="Arial"/>
                <w:sz w:val="11"/>
                <w:szCs w:val="11"/>
                <w:color w:val="auto"/>
              </w:rPr>
              <w:t>Taxable interest income</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18,297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19,597</w:t>
            </w:r>
          </w:p>
        </w:tc>
      </w:tr>
      <w:tr>
        <w:trPr>
          <w:trHeight w:val="149"/>
        </w:trPr>
        <w:tc>
          <w:tcPr>
            <w:tcW w:w="8460" w:type="dxa"/>
            <w:vAlign w:val="bottom"/>
            <w:gridSpan w:val="2"/>
            <w:shd w:val="clear" w:color="auto" w:fill="E0E7ED"/>
          </w:tcPr>
          <w:p>
            <w:pPr>
              <w:ind w:left="280"/>
              <w:spacing w:after="0"/>
              <w:rPr>
                <w:sz w:val="20"/>
                <w:szCs w:val="20"/>
                <w:color w:val="auto"/>
              </w:rPr>
            </w:pPr>
            <w:r>
              <w:rPr>
                <w:rFonts w:ascii="Arial" w:cs="Arial" w:eastAsia="Arial" w:hAnsi="Arial"/>
                <w:sz w:val="11"/>
                <w:szCs w:val="11"/>
                <w:color w:val="auto"/>
              </w:rPr>
              <w:t>Non-taxable interest income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642</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340</w:t>
            </w: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Dividend income on bank stock</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759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87</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Other interest income</w:t>
            </w: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7,584</w:t>
            </w:r>
          </w:p>
        </w:tc>
        <w:tc>
          <w:tcPr>
            <w:tcW w:w="100" w:type="dxa"/>
            <w:vAlign w:val="bottom"/>
            <w:shd w:val="clear" w:color="auto" w:fill="E0E7ED"/>
          </w:tcPr>
          <w:p>
            <w:pPr>
              <w:spacing w:after="0"/>
              <w:rPr>
                <w:sz w:val="12"/>
                <w:szCs w:val="12"/>
                <w:color w:val="auto"/>
              </w:rPr>
            </w:pP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6,471</w:t>
            </w:r>
          </w:p>
        </w:tc>
      </w:tr>
      <w:tr>
        <w:trPr>
          <w:trHeight w:val="139"/>
        </w:trPr>
        <w:tc>
          <w:tcPr>
            <w:tcW w:w="8460" w:type="dxa"/>
            <w:vAlign w:val="bottom"/>
            <w:tcBorders>
              <w:bottom w:val="single" w:sz="8" w:color="E0E7ED"/>
            </w:tcBorders>
            <w:gridSpan w:val="2"/>
          </w:tcPr>
          <w:p>
            <w:pPr>
              <w:ind w:left="20"/>
              <w:spacing w:after="0"/>
              <w:rPr>
                <w:sz w:val="20"/>
                <w:szCs w:val="20"/>
                <w:color w:val="auto"/>
              </w:rPr>
            </w:pPr>
            <w:r>
              <w:rPr>
                <w:rFonts w:ascii="Arial" w:cs="Arial" w:eastAsia="Arial" w:hAnsi="Arial"/>
                <w:sz w:val="11"/>
                <w:szCs w:val="11"/>
                <w:color w:val="auto"/>
              </w:rPr>
              <w:t>Total interest income</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166,815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125,820</w:t>
            </w:r>
          </w:p>
        </w:tc>
      </w:tr>
      <w:tr>
        <w:trPr>
          <w:trHeight w:val="129"/>
        </w:trPr>
        <w:tc>
          <w:tcPr>
            <w:tcW w:w="838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0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040" w:type="dxa"/>
            <w:vAlign w:val="bottom"/>
            <w:shd w:val="clear" w:color="auto" w:fill="E0E7ED"/>
          </w:tcPr>
          <w:p>
            <w:pPr>
              <w:spacing w:after="0"/>
              <w:rPr>
                <w:sz w:val="11"/>
                <w:szCs w:val="11"/>
                <w:color w:val="auto"/>
              </w:rPr>
            </w:pPr>
          </w:p>
        </w:tc>
      </w:tr>
      <w:tr>
        <w:trPr>
          <w:trHeight w:val="149"/>
        </w:trPr>
        <w:tc>
          <w:tcPr>
            <w:tcW w:w="8460" w:type="dxa"/>
            <w:vAlign w:val="bottom"/>
            <w:gridSpan w:val="2"/>
          </w:tcPr>
          <w:p>
            <w:pPr>
              <w:ind w:left="20"/>
              <w:spacing w:after="0"/>
              <w:rPr>
                <w:sz w:val="20"/>
                <w:szCs w:val="20"/>
                <w:color w:val="auto"/>
              </w:rPr>
            </w:pPr>
            <w:r>
              <w:rPr>
                <w:rFonts w:ascii="Arial" w:cs="Arial" w:eastAsia="Arial" w:hAnsi="Arial"/>
                <w:sz w:val="11"/>
                <w:szCs w:val="11"/>
                <w:b w:val="1"/>
                <w:bCs w:val="1"/>
                <w:color w:val="auto"/>
              </w:rPr>
              <w:t>Interest expense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Deposits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57,312</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43,968</w:t>
            </w: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Federal funds purchased and securities sold under agreements to repurchase</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876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1,372</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Short-term borrowings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67</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232</w:t>
            </w: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Long-term debt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287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296</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Subordinated notes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3,187</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3,109</w:t>
            </w:r>
          </w:p>
        </w:tc>
      </w:tr>
      <w:tr>
        <w:trPr>
          <w:trHeight w:val="149"/>
        </w:trPr>
        <w:tc>
          <w:tcPr>
            <w:tcW w:w="8460" w:type="dxa"/>
            <w:vAlign w:val="bottom"/>
            <w:tcBorders>
              <w:bottom w:val="single" w:sz="8" w:color="E0E7ED"/>
            </w:tcBorders>
            <w:gridSpan w:val="2"/>
          </w:tcPr>
          <w:p>
            <w:pPr>
              <w:ind w:left="140"/>
              <w:spacing w:after="0"/>
              <w:rPr>
                <w:sz w:val="20"/>
                <w:szCs w:val="20"/>
                <w:color w:val="auto"/>
              </w:rPr>
            </w:pPr>
            <w:r>
              <w:rPr>
                <w:rFonts w:ascii="Arial" w:cs="Arial" w:eastAsia="Arial" w:hAnsi="Arial"/>
                <w:sz w:val="11"/>
                <w:szCs w:val="11"/>
                <w:color w:val="auto"/>
              </w:rPr>
              <w:t>Junior subordinated debt owed to unconsolidated trusts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989</w:t>
            </w:r>
          </w:p>
        </w:tc>
      </w:tr>
      <w:tr>
        <w:trPr>
          <w:trHeight w:val="139"/>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Total interest expense</w:t>
            </w: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63,084</w:t>
            </w:r>
          </w:p>
        </w:tc>
        <w:tc>
          <w:tcPr>
            <w:tcW w:w="100" w:type="dxa"/>
            <w:vAlign w:val="bottom"/>
            <w:shd w:val="clear" w:color="auto" w:fill="E0E7ED"/>
          </w:tcPr>
          <w:p>
            <w:pPr>
              <w:spacing w:after="0"/>
              <w:rPr>
                <w:sz w:val="12"/>
                <w:szCs w:val="12"/>
                <w:color w:val="auto"/>
              </w:rPr>
            </w:pP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49,966</w:t>
            </w:r>
          </w:p>
        </w:tc>
      </w:tr>
      <w:tr>
        <w:trPr>
          <w:trHeight w:val="129"/>
        </w:trPr>
        <w:tc>
          <w:tcPr>
            <w:tcW w:w="8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9"/>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Net interest income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103,731</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75,854</w:t>
            </w:r>
          </w:p>
        </w:tc>
      </w:tr>
      <w:tr>
        <w:trPr>
          <w:trHeight w:val="149"/>
        </w:trPr>
        <w:tc>
          <w:tcPr>
            <w:tcW w:w="8460" w:type="dxa"/>
            <w:vAlign w:val="bottom"/>
            <w:tcBorders>
              <w:bottom w:val="single" w:sz="8" w:color="E0E7ED"/>
            </w:tcBorders>
            <w:gridSpan w:val="2"/>
          </w:tcPr>
          <w:p>
            <w:pPr>
              <w:ind w:left="140"/>
              <w:spacing w:after="0"/>
              <w:rPr>
                <w:sz w:val="20"/>
                <w:szCs w:val="20"/>
                <w:color w:val="auto"/>
              </w:rPr>
            </w:pPr>
            <w:r>
              <w:rPr>
                <w:rFonts w:ascii="Arial" w:cs="Arial" w:eastAsia="Arial" w:hAnsi="Arial"/>
                <w:sz w:val="11"/>
                <w:szCs w:val="11"/>
                <w:color w:val="auto"/>
              </w:rPr>
              <w:t>Provision for credit losses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42,452</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5,038</w:t>
            </w:r>
          </w:p>
        </w:tc>
      </w:tr>
      <w:tr>
        <w:trPr>
          <w:trHeight w:val="139"/>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Net interest income after provision for credit losses</w:t>
            </w: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61,279</w:t>
            </w:r>
          </w:p>
        </w:tc>
        <w:tc>
          <w:tcPr>
            <w:tcW w:w="100" w:type="dxa"/>
            <w:vAlign w:val="bottom"/>
            <w:shd w:val="clear" w:color="auto" w:fill="E0E7ED"/>
          </w:tcPr>
          <w:p>
            <w:pPr>
              <w:spacing w:after="0"/>
              <w:rPr>
                <w:sz w:val="12"/>
                <w:szCs w:val="12"/>
                <w:color w:val="auto"/>
              </w:rPr>
            </w:pP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70,816</w:t>
            </w:r>
          </w:p>
        </w:tc>
      </w:tr>
      <w:tr>
        <w:trPr>
          <w:trHeight w:val="129"/>
        </w:trPr>
        <w:tc>
          <w:tcPr>
            <w:tcW w:w="8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9"/>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Noninterest income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Wealth management fees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17,364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15,549</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Fees for customer services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8,128</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7,056</w:t>
            </w: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Payment technology solutions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5,073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5,709</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Mortgage revenue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329</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746</w:t>
            </w: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Income on bank owned life insurance</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1,446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1,419</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Realized net gains (losses) on the sale of mortgage servicing rights</w:t>
            </w:r>
          </w:p>
        </w:tc>
        <w:tc>
          <w:tcPr>
            <w:tcW w:w="320" w:type="dxa"/>
            <w:vAlign w:val="bottom"/>
            <w:shd w:val="clear" w:color="auto" w:fill="E0E7ED"/>
          </w:tcPr>
          <w:p>
            <w:pPr>
              <w:spacing w:after="0"/>
              <w:rPr>
                <w:sz w:val="12"/>
                <w:szCs w:val="12"/>
                <w:color w:val="auto"/>
              </w:rPr>
            </w:pPr>
          </w:p>
        </w:tc>
        <w:tc>
          <w:tcPr>
            <w:tcW w:w="114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7,465</w:t>
            </w: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Realized net gains (losses) on securities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(15,537)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(6,802)</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Unrealized net gains (losses) recognized on equity securities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(231)</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427</w:t>
            </w:r>
          </w:p>
        </w:tc>
      </w:tr>
      <w:tr>
        <w:trPr>
          <w:trHeight w:val="149"/>
        </w:trPr>
        <w:tc>
          <w:tcPr>
            <w:tcW w:w="8460" w:type="dxa"/>
            <w:vAlign w:val="bottom"/>
            <w:tcBorders>
              <w:bottom w:val="single" w:sz="8" w:color="E0E7ED"/>
            </w:tcBorders>
            <w:gridSpan w:val="2"/>
          </w:tcPr>
          <w:p>
            <w:pPr>
              <w:ind w:left="140"/>
              <w:spacing w:after="0"/>
              <w:rPr>
                <w:sz w:val="20"/>
                <w:szCs w:val="20"/>
                <w:color w:val="auto"/>
              </w:rPr>
            </w:pPr>
            <w:r>
              <w:rPr>
                <w:rFonts w:ascii="Arial" w:cs="Arial" w:eastAsia="Arial" w:hAnsi="Arial"/>
                <w:sz w:val="11"/>
                <w:szCs w:val="11"/>
                <w:color w:val="auto"/>
              </w:rPr>
              <w:t>Other noninterest income</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4,651</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3,344</w:t>
            </w:r>
          </w:p>
        </w:tc>
      </w:tr>
      <w:tr>
        <w:trPr>
          <w:trHeight w:val="139"/>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Total noninterest income</w:t>
            </w: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21,223</w:t>
            </w:r>
          </w:p>
        </w:tc>
        <w:tc>
          <w:tcPr>
            <w:tcW w:w="100" w:type="dxa"/>
            <w:vAlign w:val="bottom"/>
            <w:shd w:val="clear" w:color="auto" w:fill="E0E7ED"/>
          </w:tcPr>
          <w:p>
            <w:pPr>
              <w:spacing w:after="0"/>
              <w:rPr>
                <w:sz w:val="12"/>
                <w:szCs w:val="12"/>
                <w:color w:val="auto"/>
              </w:rPr>
            </w:pP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34,913</w:t>
            </w:r>
          </w:p>
        </w:tc>
      </w:tr>
      <w:tr>
        <w:trPr>
          <w:trHeight w:val="129"/>
        </w:trPr>
        <w:tc>
          <w:tcPr>
            <w:tcW w:w="8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9"/>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Noninterest expense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Salaries, wages, and employee benefits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67,563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42,090</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Data processing</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9,575</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6,550</w:t>
            </w: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Net occupancy expense of premises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5,799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4,720</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Furniture and equipment expenses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1,744</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1,813</w:t>
            </w: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Professional fees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9,511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2,253</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Amortization of intangible assets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3,083</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2,409</w:t>
            </w:r>
          </w:p>
        </w:tc>
      </w:tr>
      <w:tr>
        <w:trPr>
          <w:trHeight w:val="149"/>
        </w:trPr>
        <w:tc>
          <w:tcPr>
            <w:tcW w:w="8460" w:type="dxa"/>
            <w:vAlign w:val="bottom"/>
            <w:gridSpan w:val="2"/>
          </w:tcPr>
          <w:p>
            <w:pPr>
              <w:ind w:left="140"/>
              <w:spacing w:after="0"/>
              <w:rPr>
                <w:sz w:val="20"/>
                <w:szCs w:val="20"/>
                <w:color w:val="auto"/>
              </w:rPr>
            </w:pPr>
            <w:r>
              <w:rPr>
                <w:rFonts w:ascii="Arial" w:cs="Arial" w:eastAsia="Arial" w:hAnsi="Arial"/>
                <w:sz w:val="11"/>
                <w:szCs w:val="11"/>
                <w:color w:val="auto"/>
              </w:rPr>
              <w:t>Interchange expense</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1,343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1,611</w:t>
            </w:r>
          </w:p>
        </w:tc>
      </w:tr>
      <w:tr>
        <w:trPr>
          <w:trHeight w:val="149"/>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FDIC insurance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2,167</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1,400</w:t>
            </w:r>
          </w:p>
        </w:tc>
      </w:tr>
      <w:tr>
        <w:trPr>
          <w:trHeight w:val="149"/>
        </w:trPr>
        <w:tc>
          <w:tcPr>
            <w:tcW w:w="8460" w:type="dxa"/>
            <w:vAlign w:val="bottom"/>
            <w:tcBorders>
              <w:bottom w:val="single" w:sz="8" w:color="E0E7ED"/>
            </w:tcBorders>
            <w:gridSpan w:val="2"/>
          </w:tcPr>
          <w:p>
            <w:pPr>
              <w:ind w:left="140"/>
              <w:spacing w:after="0"/>
              <w:rPr>
                <w:sz w:val="20"/>
                <w:szCs w:val="20"/>
                <w:color w:val="auto"/>
              </w:rPr>
            </w:pPr>
            <w:r>
              <w:rPr>
                <w:rFonts w:ascii="Arial" w:cs="Arial" w:eastAsia="Arial" w:hAnsi="Arial"/>
                <w:sz w:val="11"/>
                <w:szCs w:val="11"/>
                <w:color w:val="auto"/>
              </w:rPr>
              <w:t>Other noninterest expense</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14,386</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7,923</w:t>
            </w:r>
          </w:p>
        </w:tc>
      </w:tr>
      <w:tr>
        <w:trPr>
          <w:trHeight w:val="139"/>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Total noninterest expense</w:t>
            </w: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115,171</w:t>
            </w:r>
          </w:p>
        </w:tc>
        <w:tc>
          <w:tcPr>
            <w:tcW w:w="100" w:type="dxa"/>
            <w:vAlign w:val="bottom"/>
            <w:shd w:val="clear" w:color="auto" w:fill="E0E7ED"/>
          </w:tcPr>
          <w:p>
            <w:pPr>
              <w:spacing w:after="0"/>
              <w:rPr>
                <w:sz w:val="12"/>
                <w:szCs w:val="12"/>
                <w:color w:val="auto"/>
              </w:rPr>
            </w:pP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70,769</w:t>
            </w:r>
          </w:p>
        </w:tc>
      </w:tr>
      <w:tr>
        <w:trPr>
          <w:trHeight w:val="129"/>
        </w:trPr>
        <w:tc>
          <w:tcPr>
            <w:tcW w:w="8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9"/>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Income (loss) before income taxes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(32,669)</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34,960</w:t>
            </w:r>
          </w:p>
        </w:tc>
      </w:tr>
      <w:tr>
        <w:trPr>
          <w:trHeight w:val="149"/>
        </w:trPr>
        <w:tc>
          <w:tcPr>
            <w:tcW w:w="8460" w:type="dxa"/>
            <w:vAlign w:val="bottom"/>
            <w:tcBorders>
              <w:bottom w:val="single" w:sz="8" w:color="E0E7ED"/>
            </w:tcBorders>
            <w:gridSpan w:val="2"/>
          </w:tcPr>
          <w:p>
            <w:pPr>
              <w:ind w:left="140"/>
              <w:spacing w:after="0"/>
              <w:rPr>
                <w:sz w:val="20"/>
                <w:szCs w:val="20"/>
                <w:color w:val="auto"/>
              </w:rPr>
            </w:pPr>
            <w:r>
              <w:rPr>
                <w:rFonts w:ascii="Arial" w:cs="Arial" w:eastAsia="Arial" w:hAnsi="Arial"/>
                <w:sz w:val="11"/>
                <w:szCs w:val="11"/>
                <w:color w:val="auto"/>
              </w:rPr>
              <w:t>Income taxes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(2,679)</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8,735</w:t>
            </w:r>
          </w:p>
        </w:tc>
      </w:tr>
      <w:tr>
        <w:trPr>
          <w:trHeight w:val="164"/>
        </w:trPr>
        <w:tc>
          <w:tcPr>
            <w:tcW w:w="84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Net income (loss)</w:t>
            </w:r>
          </w:p>
        </w:tc>
        <w:tc>
          <w:tcPr>
            <w:tcW w:w="320" w:type="dxa"/>
            <w:vAlign w:val="bottom"/>
            <w:tcBorders>
              <w:bottom w:val="single" w:sz="8" w:color="auto"/>
            </w:tcBorders>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(29,990)</w:t>
            </w:r>
          </w:p>
        </w:tc>
        <w:tc>
          <w:tcPr>
            <w:tcW w:w="100" w:type="dxa"/>
            <w:vAlign w:val="bottom"/>
            <w:tcBorders>
              <w:bottom w:val="single" w:sz="8" w:color="E0E7ED"/>
            </w:tcBorders>
            <w:shd w:val="clear" w:color="auto" w:fill="E0E7ED"/>
          </w:tcPr>
          <w:p>
            <w:pPr>
              <w:spacing w:after="0"/>
              <w:rPr>
                <w:sz w:val="13"/>
                <w:szCs w:val="13"/>
                <w:color w:val="auto"/>
              </w:rPr>
            </w:pPr>
          </w:p>
        </w:tc>
        <w:tc>
          <w:tcPr>
            <w:tcW w:w="320" w:type="dxa"/>
            <w:vAlign w:val="bottom"/>
            <w:tcBorders>
              <w:bottom w:val="single" w:sz="8" w:color="auto"/>
            </w:tcBorders>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26,225</w:t>
            </w:r>
          </w:p>
        </w:tc>
      </w:tr>
      <w:tr>
        <w:trPr>
          <w:trHeight w:val="20"/>
        </w:trPr>
        <w:tc>
          <w:tcPr>
            <w:tcW w:w="83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r>
      <w:tr>
        <w:trPr>
          <w:trHeight w:val="90"/>
        </w:trPr>
        <w:tc>
          <w:tcPr>
            <w:tcW w:w="8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149"/>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Basic earnings (loss) per common share</w:t>
            </w:r>
          </w:p>
        </w:tc>
        <w:tc>
          <w:tcPr>
            <w:tcW w:w="320" w:type="dxa"/>
            <w:vAlign w:val="bottom"/>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(0.44)</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0.47</w:t>
            </w:r>
          </w:p>
        </w:tc>
      </w:tr>
      <w:tr>
        <w:trPr>
          <w:trHeight w:val="149"/>
        </w:trPr>
        <w:tc>
          <w:tcPr>
            <w:tcW w:w="8460" w:type="dxa"/>
            <w:vAlign w:val="bottom"/>
            <w:gridSpan w:val="2"/>
          </w:tcPr>
          <w:p>
            <w:pPr>
              <w:ind w:left="20"/>
              <w:spacing w:after="0"/>
              <w:rPr>
                <w:sz w:val="20"/>
                <w:szCs w:val="20"/>
                <w:color w:val="auto"/>
              </w:rPr>
            </w:pPr>
            <w:r>
              <w:rPr>
                <w:rFonts w:ascii="Arial" w:cs="Arial" w:eastAsia="Arial" w:hAnsi="Arial"/>
                <w:sz w:val="11"/>
                <w:szCs w:val="11"/>
                <w:b w:val="1"/>
                <w:bCs w:val="1"/>
                <w:color w:val="auto"/>
              </w:rPr>
              <w:t>Diluted earnings (loss) per common share</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(0.44)</w:t>
            </w:r>
          </w:p>
        </w:tc>
        <w:tc>
          <w:tcPr>
            <w:tcW w:w="100" w:type="dxa"/>
            <w:vAlign w:val="bottom"/>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0.46</w:t>
            </w:r>
          </w:p>
        </w:tc>
      </w:tr>
      <w:tr>
        <w:trPr>
          <w:trHeight w:val="149"/>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Dividends declared per share of common stock</w:t>
            </w:r>
          </w:p>
        </w:tc>
        <w:tc>
          <w:tcPr>
            <w:tcW w:w="320" w:type="dxa"/>
            <w:vAlign w:val="bottom"/>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0.25</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0.24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 to Consolidated Financial Statements (Unaudited)</w:t>
      </w:r>
      <w:r>
        <w:rPr>
          <w:rFonts w:ascii="Arial" w:cs="Arial" w:eastAsia="Arial" w:hAnsi="Arial"/>
          <w:sz w:val="14"/>
          <w:szCs w:val="14"/>
          <w:color w:val="auto"/>
        </w:rPr>
        <w:t>.</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2024</w:t>
            </w:r>
          </w:p>
        </w:tc>
      </w:tr>
      <w:tr>
        <w:trPr>
          <w:trHeight w:val="139"/>
        </w:trPr>
        <w:tc>
          <w:tcPr>
            <w:tcW w:w="8460" w:type="dxa"/>
            <w:vAlign w:val="bottom"/>
            <w:shd w:val="clear" w:color="auto" w:fill="E0E7ED"/>
          </w:tcPr>
          <w:p>
            <w:pPr>
              <w:ind w:left="20"/>
              <w:spacing w:after="0"/>
              <w:rPr>
                <w:sz w:val="20"/>
                <w:szCs w:val="20"/>
                <w:color w:val="auto"/>
              </w:rPr>
            </w:pPr>
            <w:r>
              <w:rPr>
                <w:rFonts w:ascii="Arial" w:cs="Arial" w:eastAsia="Arial" w:hAnsi="Arial"/>
                <w:sz w:val="11"/>
                <w:szCs w:val="11"/>
                <w:color w:val="auto"/>
              </w:rPr>
              <w:t>Net income (loss)</w:t>
            </w:r>
          </w:p>
        </w:tc>
        <w:tc>
          <w:tcPr>
            <w:tcW w:w="320" w:type="dxa"/>
            <w:vAlign w:val="bottom"/>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(29,990)</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26,225</w:t>
            </w:r>
          </w:p>
        </w:tc>
      </w:tr>
      <w:tr>
        <w:trPr>
          <w:trHeight w:val="149"/>
        </w:trPr>
        <w:tc>
          <w:tcPr>
            <w:tcW w:w="8460" w:type="dxa"/>
            <w:vAlign w:val="bottom"/>
          </w:tcPr>
          <w:p>
            <w:pPr>
              <w:ind w:left="20"/>
              <w:spacing w:after="0"/>
              <w:rPr>
                <w:sz w:val="20"/>
                <w:szCs w:val="20"/>
                <w:color w:val="auto"/>
              </w:rPr>
            </w:pPr>
            <w:r>
              <w:rPr>
                <w:rFonts w:ascii="Arial" w:cs="Arial" w:eastAsia="Arial" w:hAnsi="Arial"/>
                <w:sz w:val="11"/>
                <w:szCs w:val="11"/>
                <w:color w:val="auto"/>
              </w:rPr>
              <w:t>OCI:</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8460" w:type="dxa"/>
            <w:vAlign w:val="bottom"/>
            <w:shd w:val="clear" w:color="auto" w:fill="E0E7ED"/>
          </w:tcPr>
          <w:p>
            <w:pPr>
              <w:ind w:left="140"/>
              <w:spacing w:after="0"/>
              <w:rPr>
                <w:sz w:val="20"/>
                <w:szCs w:val="20"/>
                <w:color w:val="auto"/>
              </w:rPr>
            </w:pPr>
            <w:r>
              <w:rPr>
                <w:rFonts w:ascii="Arial" w:cs="Arial" w:eastAsia="Arial" w:hAnsi="Arial"/>
                <w:sz w:val="11"/>
                <w:szCs w:val="11"/>
                <w:color w:val="auto"/>
              </w:rPr>
              <w:t>Unrealized/Unrecognized gains (losses) on debt securities: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r>
      <w:tr>
        <w:trPr>
          <w:trHeight w:val="149"/>
        </w:trPr>
        <w:tc>
          <w:tcPr>
            <w:tcW w:w="8460" w:type="dxa"/>
            <w:vAlign w:val="bottom"/>
          </w:tcPr>
          <w:p>
            <w:pPr>
              <w:ind w:left="280"/>
              <w:spacing w:after="0"/>
              <w:rPr>
                <w:sz w:val="20"/>
                <w:szCs w:val="20"/>
                <w:color w:val="auto"/>
              </w:rPr>
            </w:pPr>
            <w:r>
              <w:rPr>
                <w:rFonts w:ascii="Arial" w:cs="Arial" w:eastAsia="Arial" w:hAnsi="Arial"/>
                <w:sz w:val="11"/>
                <w:szCs w:val="11"/>
                <w:color w:val="auto"/>
              </w:rPr>
              <w:t>Net unrealized holding gains (losses) on debt securities available for sale</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23,827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(7,947)</w:t>
            </w:r>
          </w:p>
        </w:tc>
      </w:tr>
      <w:tr>
        <w:trPr>
          <w:trHeight w:val="149"/>
        </w:trPr>
        <w:tc>
          <w:tcPr>
            <w:tcW w:w="8460" w:type="dxa"/>
            <w:vAlign w:val="bottom"/>
            <w:shd w:val="clear" w:color="auto" w:fill="E0E7ED"/>
          </w:tcPr>
          <w:p>
            <w:pPr>
              <w:ind w:left="280"/>
              <w:spacing w:after="0"/>
              <w:rPr>
                <w:sz w:val="20"/>
                <w:szCs w:val="20"/>
                <w:color w:val="auto"/>
              </w:rPr>
            </w:pPr>
            <w:r>
              <w:rPr>
                <w:rFonts w:ascii="Arial" w:cs="Arial" w:eastAsia="Arial" w:hAnsi="Arial"/>
                <w:sz w:val="11"/>
                <w:szCs w:val="11"/>
                <w:color w:val="auto"/>
              </w:rPr>
              <w:t>Reclassification adjustment for realized (gains) losses on debt securities available for sale included in net income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15,537</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6,802</w:t>
            </w:r>
          </w:p>
        </w:tc>
      </w:tr>
      <w:tr>
        <w:trPr>
          <w:trHeight w:val="149"/>
        </w:trPr>
        <w:tc>
          <w:tcPr>
            <w:tcW w:w="8460" w:type="dxa"/>
            <w:vAlign w:val="bottom"/>
          </w:tcPr>
          <w:p>
            <w:pPr>
              <w:ind w:left="280"/>
              <w:spacing w:after="0"/>
              <w:rPr>
                <w:sz w:val="20"/>
                <w:szCs w:val="20"/>
                <w:color w:val="auto"/>
              </w:rPr>
            </w:pPr>
            <w:r>
              <w:rPr>
                <w:rFonts w:ascii="Arial" w:cs="Arial" w:eastAsia="Arial" w:hAnsi="Arial"/>
                <w:sz w:val="11"/>
                <w:szCs w:val="11"/>
                <w:color w:val="auto"/>
              </w:rPr>
              <w:t>Amortization of unrecognized losses on securities transferred to held to maturity</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1,133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1,411</w:t>
            </w:r>
          </w:p>
        </w:tc>
      </w:tr>
      <w:tr>
        <w:trPr>
          <w:trHeight w:val="149"/>
        </w:trPr>
        <w:tc>
          <w:tcPr>
            <w:tcW w:w="8460" w:type="dxa"/>
            <w:vAlign w:val="bottom"/>
            <w:shd w:val="clear" w:color="auto" w:fill="E0E7ED"/>
          </w:tcPr>
          <w:p>
            <w:pPr>
              <w:ind w:left="280"/>
              <w:spacing w:after="0"/>
              <w:rPr>
                <w:sz w:val="20"/>
                <w:szCs w:val="20"/>
                <w:color w:val="auto"/>
              </w:rPr>
            </w:pPr>
            <w:r>
              <w:rPr>
                <w:rFonts w:ascii="Arial" w:cs="Arial" w:eastAsia="Arial" w:hAnsi="Arial"/>
                <w:sz w:val="11"/>
                <w:szCs w:val="11"/>
                <w:color w:val="auto"/>
              </w:rPr>
              <w:t>Tax effect</w:t>
            </w: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(12,414)</w:t>
            </w:r>
          </w:p>
        </w:tc>
        <w:tc>
          <w:tcPr>
            <w:tcW w:w="100" w:type="dxa"/>
            <w:vAlign w:val="bottom"/>
            <w:shd w:val="clear" w:color="auto" w:fill="E0E7ED"/>
          </w:tcPr>
          <w:p>
            <w:pPr>
              <w:spacing w:after="0"/>
              <w:rPr>
                <w:sz w:val="12"/>
                <w:szCs w:val="12"/>
                <w:color w:val="auto"/>
              </w:rPr>
            </w:pP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(75)</w:t>
            </w:r>
          </w:p>
        </w:tc>
      </w:tr>
      <w:tr>
        <w:trPr>
          <w:trHeight w:val="139"/>
        </w:trPr>
        <w:tc>
          <w:tcPr>
            <w:tcW w:w="8460" w:type="dxa"/>
            <w:vAlign w:val="bottom"/>
          </w:tcPr>
          <w:p>
            <w:pPr>
              <w:ind w:left="140"/>
              <w:spacing w:after="0"/>
              <w:rPr>
                <w:sz w:val="20"/>
                <w:szCs w:val="20"/>
                <w:color w:val="auto"/>
              </w:rPr>
            </w:pPr>
            <w:r>
              <w:rPr>
                <w:rFonts w:ascii="Arial" w:cs="Arial" w:eastAsia="Arial" w:hAnsi="Arial"/>
                <w:sz w:val="11"/>
                <w:szCs w:val="11"/>
                <w:color w:val="auto"/>
              </w:rPr>
              <w:t>Net change in unrealized/unrecognized gains (losses) on debt securities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28,083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191</w:t>
            </w:r>
          </w:p>
        </w:tc>
      </w:tr>
      <w:tr>
        <w:trPr>
          <w:trHeight w:val="149"/>
        </w:trPr>
        <w:tc>
          <w:tcPr>
            <w:tcW w:w="8460" w:type="dxa"/>
            <w:vAlign w:val="bottom"/>
            <w:shd w:val="clear" w:color="auto" w:fill="E0E7ED"/>
          </w:tcPr>
          <w:p>
            <w:pPr>
              <w:ind w:left="140"/>
              <w:spacing w:after="0"/>
              <w:rPr>
                <w:sz w:val="20"/>
                <w:szCs w:val="20"/>
                <w:color w:val="auto"/>
              </w:rPr>
            </w:pPr>
            <w:r>
              <w:rPr>
                <w:rFonts w:ascii="Arial" w:cs="Arial" w:eastAsia="Arial" w:hAnsi="Arial"/>
                <w:sz w:val="11"/>
                <w:szCs w:val="11"/>
                <w:color w:val="auto"/>
              </w:rPr>
              <w:t>Unrealized gains (losses) on cash flow hedges: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r>
      <w:tr>
        <w:trPr>
          <w:trHeight w:val="149"/>
        </w:trPr>
        <w:tc>
          <w:tcPr>
            <w:tcW w:w="8460" w:type="dxa"/>
            <w:vAlign w:val="bottom"/>
          </w:tcPr>
          <w:p>
            <w:pPr>
              <w:ind w:left="280"/>
              <w:spacing w:after="0"/>
              <w:rPr>
                <w:sz w:val="20"/>
                <w:szCs w:val="20"/>
                <w:color w:val="auto"/>
              </w:rPr>
            </w:pPr>
            <w:r>
              <w:rPr>
                <w:rFonts w:ascii="Arial" w:cs="Arial" w:eastAsia="Arial" w:hAnsi="Arial"/>
                <w:sz w:val="11"/>
                <w:szCs w:val="11"/>
                <w:color w:val="auto"/>
              </w:rPr>
              <w:t>Net unrealized holding gains (losses) on cash flow hedges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6,098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(7,318)</w:t>
            </w:r>
          </w:p>
        </w:tc>
      </w:tr>
      <w:tr>
        <w:trPr>
          <w:trHeight w:val="149"/>
        </w:trPr>
        <w:tc>
          <w:tcPr>
            <w:tcW w:w="8460" w:type="dxa"/>
            <w:vAlign w:val="bottom"/>
            <w:shd w:val="clear" w:color="auto" w:fill="E0E7ED"/>
          </w:tcPr>
          <w:p>
            <w:pPr>
              <w:ind w:left="280"/>
              <w:spacing w:after="0"/>
              <w:rPr>
                <w:sz w:val="20"/>
                <w:szCs w:val="20"/>
                <w:color w:val="auto"/>
              </w:rPr>
            </w:pPr>
            <w:r>
              <w:rPr>
                <w:rFonts w:ascii="Arial" w:cs="Arial" w:eastAsia="Arial" w:hAnsi="Arial"/>
                <w:sz w:val="11"/>
                <w:szCs w:val="11"/>
                <w:color w:val="auto"/>
              </w:rPr>
              <w:t>Reclassification adjustment for realized (gains) losses on cash flow hedges included in net income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2,060</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2,313</w:t>
            </w:r>
          </w:p>
        </w:tc>
      </w:tr>
      <w:tr>
        <w:trPr>
          <w:trHeight w:val="149"/>
        </w:trPr>
        <w:tc>
          <w:tcPr>
            <w:tcW w:w="8460" w:type="dxa"/>
            <w:vAlign w:val="bottom"/>
            <w:tcBorders>
              <w:bottom w:val="single" w:sz="8" w:color="E0E7ED"/>
            </w:tcBorders>
          </w:tcPr>
          <w:p>
            <w:pPr>
              <w:ind w:left="280"/>
              <w:spacing w:after="0"/>
              <w:rPr>
                <w:sz w:val="20"/>
                <w:szCs w:val="20"/>
                <w:color w:val="auto"/>
              </w:rPr>
            </w:pPr>
            <w:r>
              <w:rPr>
                <w:rFonts w:ascii="Arial" w:cs="Arial" w:eastAsia="Arial" w:hAnsi="Arial"/>
                <w:sz w:val="11"/>
                <w:szCs w:val="11"/>
                <w:color w:val="auto"/>
              </w:rPr>
              <w:t>Tax effect</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(2,012)</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1,427</w:t>
            </w:r>
          </w:p>
        </w:tc>
      </w:tr>
      <w:tr>
        <w:trPr>
          <w:trHeight w:val="139"/>
        </w:trPr>
        <w:tc>
          <w:tcPr>
            <w:tcW w:w="8460" w:type="dxa"/>
            <w:vAlign w:val="bottom"/>
            <w:shd w:val="clear" w:color="auto" w:fill="E0E7ED"/>
          </w:tcPr>
          <w:p>
            <w:pPr>
              <w:ind w:left="140"/>
              <w:spacing w:after="0"/>
              <w:rPr>
                <w:sz w:val="20"/>
                <w:szCs w:val="20"/>
                <w:color w:val="auto"/>
              </w:rPr>
            </w:pPr>
            <w:r>
              <w:rPr>
                <w:rFonts w:ascii="Arial" w:cs="Arial" w:eastAsia="Arial" w:hAnsi="Arial"/>
                <w:sz w:val="11"/>
                <w:szCs w:val="11"/>
                <w:color w:val="auto"/>
              </w:rPr>
              <w:t>Net change in unrealized gains (losses) on cash flow hedges</w:t>
            </w: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6,146</w:t>
            </w:r>
          </w:p>
        </w:tc>
        <w:tc>
          <w:tcPr>
            <w:tcW w:w="100" w:type="dxa"/>
            <w:vAlign w:val="bottom"/>
            <w:shd w:val="clear" w:color="auto" w:fill="E0E7ED"/>
          </w:tcPr>
          <w:p>
            <w:pPr>
              <w:spacing w:after="0"/>
              <w:rPr>
                <w:sz w:val="12"/>
                <w:szCs w:val="12"/>
                <w:color w:val="auto"/>
              </w:rPr>
            </w:pP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(3,578)</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color w:val="auto"/>
              </w:rPr>
              <w:t>OCI</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34,229</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(3,387)</w:t>
            </w:r>
          </w:p>
        </w:tc>
      </w:tr>
      <w:tr>
        <w:trPr>
          <w:trHeight w:val="164"/>
        </w:trPr>
        <w:tc>
          <w:tcPr>
            <w:tcW w:w="8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1"/>
                <w:szCs w:val="11"/>
                <w:color w:val="auto"/>
              </w:rPr>
              <w:t>Total comprehensive income</w:t>
            </w:r>
          </w:p>
        </w:tc>
        <w:tc>
          <w:tcPr>
            <w:tcW w:w="320" w:type="dxa"/>
            <w:vAlign w:val="bottom"/>
            <w:tcBorders>
              <w:bottom w:val="single" w:sz="8" w:color="auto"/>
            </w:tcBorders>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4,239</w:t>
            </w:r>
          </w:p>
        </w:tc>
        <w:tc>
          <w:tcPr>
            <w:tcW w:w="100" w:type="dxa"/>
            <w:vAlign w:val="bottom"/>
            <w:tcBorders>
              <w:bottom w:val="single" w:sz="8" w:color="E0E7ED"/>
            </w:tcBorders>
            <w:shd w:val="clear" w:color="auto" w:fill="E0E7ED"/>
          </w:tcPr>
          <w:p>
            <w:pPr>
              <w:spacing w:after="0"/>
              <w:rPr>
                <w:sz w:val="13"/>
                <w:szCs w:val="13"/>
                <w:color w:val="auto"/>
              </w:rPr>
            </w:pPr>
          </w:p>
        </w:tc>
        <w:tc>
          <w:tcPr>
            <w:tcW w:w="320" w:type="dxa"/>
            <w:vAlign w:val="bottom"/>
            <w:tcBorders>
              <w:bottom w:val="single" w:sz="8" w:color="auto"/>
            </w:tcBorders>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22,838</w:t>
            </w:r>
          </w:p>
        </w:tc>
      </w:tr>
      <w:tr>
        <w:trPr>
          <w:trHeight w:val="20"/>
        </w:trPr>
        <w:tc>
          <w:tcPr>
            <w:tcW w:w="846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 to Consolidated Financial Statements (Unaudited)</w:t>
      </w:r>
      <w:r>
        <w:rPr>
          <w:rFonts w:ascii="Arial" w:cs="Arial" w:eastAsia="Arial" w:hAnsi="Arial"/>
          <w:sz w:val="14"/>
          <w:szCs w:val="14"/>
          <w:color w:val="auto"/>
        </w:rPr>
        <w:t>.</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 (Unaudited)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6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1"/>
                <w:szCs w:val="11"/>
                <w:b w:val="1"/>
                <w:bCs w:val="1"/>
                <w:color w:val="auto"/>
              </w:rPr>
              <w:t>Three Months Ended March 31, 2025</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1940" w:type="dxa"/>
            <w:vAlign w:val="bottom"/>
            <w:gridSpan w:val="4"/>
          </w:tcPr>
          <w:p>
            <w:pPr>
              <w:ind w:left="440"/>
              <w:spacing w:after="0"/>
              <w:rPr>
                <w:sz w:val="20"/>
                <w:szCs w:val="20"/>
                <w:color w:val="auto"/>
              </w:rPr>
            </w:pPr>
            <w:r>
              <w:rPr>
                <w:rFonts w:ascii="Arial" w:cs="Arial" w:eastAsia="Arial" w:hAnsi="Arial"/>
                <w:sz w:val="11"/>
                <w:szCs w:val="11"/>
                <w:b w:val="1"/>
                <w:bCs w:val="1"/>
                <w:color w:val="auto"/>
              </w:rPr>
              <w:t>Number of Shares</w:t>
            </w:r>
          </w:p>
        </w:tc>
        <w:tc>
          <w:tcPr>
            <w:tcW w:w="140" w:type="dxa"/>
            <w:vAlign w:val="bottom"/>
          </w:tcPr>
          <w:p>
            <w:pPr>
              <w:spacing w:after="0"/>
              <w:rPr>
                <w:sz w:val="13"/>
                <w:szCs w:val="13"/>
                <w:color w:val="auto"/>
              </w:rPr>
            </w:pPr>
          </w:p>
        </w:tc>
        <w:tc>
          <w:tcPr>
            <w:tcW w:w="980" w:type="dxa"/>
            <w:vAlign w:val="bottom"/>
            <w:gridSpan w:val="3"/>
          </w:tcPr>
          <w:p>
            <w:pPr>
              <w:ind w:left="640"/>
              <w:spacing w:after="0"/>
              <w:rPr>
                <w:sz w:val="20"/>
                <w:szCs w:val="20"/>
                <w:color w:val="auto"/>
              </w:rPr>
            </w:pPr>
            <w:r>
              <w:rPr>
                <w:rFonts w:ascii="Arial" w:cs="Arial" w:eastAsia="Arial" w:hAnsi="Arial"/>
                <w:sz w:val="11"/>
                <w:szCs w:val="11"/>
                <w:b w:val="1"/>
                <w:bCs w:val="1"/>
                <w:color w:val="auto"/>
              </w:rPr>
              <w:t>Stock</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23"/>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32"/>
        </w:trPr>
        <w:tc>
          <w:tcPr>
            <w:tcW w:w="2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restart"/>
          </w:tcPr>
          <w:p>
            <w:pPr>
              <w:jc w:val="center"/>
              <w:ind w:right="180"/>
              <w:spacing w:after="0" w:line="96"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2"/>
                <w:szCs w:val="2"/>
                <w:color w:val="auto"/>
              </w:rPr>
            </w:pPr>
          </w:p>
        </w:tc>
        <w:tc>
          <w:tcPr>
            <w:tcW w:w="840" w:type="dxa"/>
            <w:vAlign w:val="bottom"/>
            <w:gridSpan w:val="2"/>
            <w:vMerge w:val="restart"/>
          </w:tcPr>
          <w:p>
            <w:pPr>
              <w:ind w:left="80"/>
              <w:spacing w:after="0" w:line="96" w:lineRule="exact"/>
              <w:rPr>
                <w:sz w:val="20"/>
                <w:szCs w:val="20"/>
                <w:color w:val="auto"/>
              </w:rPr>
            </w:pPr>
            <w:r>
              <w:rPr>
                <w:rFonts w:ascii="Arial" w:cs="Arial" w:eastAsia="Arial" w:hAnsi="Arial"/>
                <w:sz w:val="11"/>
                <w:szCs w:val="11"/>
                <w:b w:val="1"/>
                <w:bCs w:val="1"/>
                <w:color w:val="auto"/>
              </w:rPr>
              <w:t>Retained</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restart"/>
          </w:tcPr>
          <w:p>
            <w:pPr>
              <w:jc w:val="center"/>
              <w:ind w:right="220"/>
              <w:spacing w:after="0" w:line="96" w:lineRule="exact"/>
              <w:rPr>
                <w:sz w:val="20"/>
                <w:szCs w:val="20"/>
                <w:color w:val="auto"/>
              </w:rPr>
            </w:pPr>
            <w:r>
              <w:rPr>
                <w:rFonts w:ascii="Arial" w:cs="Arial" w:eastAsia="Arial" w:hAnsi="Arial"/>
                <w:sz w:val="11"/>
                <w:szCs w:val="11"/>
                <w:b w:val="1"/>
                <w:bCs w:val="1"/>
                <w:color w:val="auto"/>
                <w:w w:val="98"/>
              </w:rPr>
              <w:t>Treasury</w:t>
            </w:r>
          </w:p>
        </w:tc>
        <w:tc>
          <w:tcPr>
            <w:tcW w:w="80" w:type="dxa"/>
            <w:vAlign w:val="bottom"/>
          </w:tcPr>
          <w:p>
            <w:pPr>
              <w:spacing w:after="0"/>
              <w:rPr>
                <w:sz w:val="2"/>
                <w:szCs w:val="2"/>
                <w:color w:val="auto"/>
              </w:rPr>
            </w:pPr>
          </w:p>
        </w:tc>
        <w:tc>
          <w:tcPr>
            <w:tcW w:w="820" w:type="dxa"/>
            <w:vAlign w:val="bottom"/>
            <w:vMerge w:val="restart"/>
          </w:tcPr>
          <w:p>
            <w:pPr>
              <w:jc w:val="center"/>
              <w:ind w:right="23"/>
              <w:spacing w:after="0" w:line="96"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44"/>
        </w:trPr>
        <w:tc>
          <w:tcPr>
            <w:tcW w:w="26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90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rPr>
              <w:t>Preferred</w:t>
            </w:r>
          </w:p>
        </w:tc>
        <w:tc>
          <w:tcPr>
            <w:tcW w:w="60" w:type="dxa"/>
            <w:vAlign w:val="bottom"/>
            <w:vMerge w:val="restart"/>
          </w:tcPr>
          <w:p>
            <w:pPr>
              <w:spacing w:after="0"/>
              <w:rPr>
                <w:sz w:val="3"/>
                <w:szCs w:val="3"/>
                <w:color w:val="auto"/>
              </w:rPr>
            </w:pPr>
          </w:p>
        </w:tc>
        <w:tc>
          <w:tcPr>
            <w:tcW w:w="920" w:type="dxa"/>
            <w:vAlign w:val="bottom"/>
            <w:vMerge w:val="restart"/>
          </w:tcPr>
          <w:p>
            <w:pPr>
              <w:jc w:val="right"/>
              <w:ind w:right="163"/>
              <w:spacing w:after="0"/>
              <w:rPr>
                <w:sz w:val="20"/>
                <w:szCs w:val="20"/>
                <w:color w:val="auto"/>
              </w:rPr>
            </w:pPr>
            <w:r>
              <w:rPr>
                <w:rFonts w:ascii="Arial" w:cs="Arial" w:eastAsia="Arial" w:hAnsi="Arial"/>
                <w:sz w:val="11"/>
                <w:szCs w:val="11"/>
                <w:b w:val="1"/>
                <w:bCs w:val="1"/>
                <w:color w:val="auto"/>
              </w:rPr>
              <w:t>Common</w:t>
            </w:r>
          </w:p>
        </w:tc>
        <w:tc>
          <w:tcPr>
            <w:tcW w:w="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Preferred</w:t>
            </w:r>
          </w:p>
        </w:tc>
        <w:tc>
          <w:tcPr>
            <w:tcW w:w="6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rPr>
              <w:t>Common</w:t>
            </w:r>
          </w:p>
        </w:tc>
        <w:tc>
          <w:tcPr>
            <w:tcW w:w="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restart"/>
          </w:tcPr>
          <w:p>
            <w:pPr>
              <w:jc w:val="right"/>
              <w:ind w:right="263"/>
              <w:spacing w:after="0"/>
              <w:rPr>
                <w:sz w:val="20"/>
                <w:szCs w:val="20"/>
                <w:color w:val="auto"/>
              </w:rPr>
            </w:pPr>
            <w:r>
              <w:rPr>
                <w:rFonts w:ascii="Arial" w:cs="Arial" w:eastAsia="Arial" w:hAnsi="Arial"/>
                <w:sz w:val="11"/>
                <w:szCs w:val="11"/>
                <w:b w:val="1"/>
                <w:bCs w:val="1"/>
                <w:color w:val="auto"/>
              </w:rPr>
              <w:t>AOCI</w:t>
            </w:r>
          </w:p>
        </w:tc>
        <w:tc>
          <w:tcPr>
            <w:tcW w:w="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600" w:type="dxa"/>
            <w:vAlign w:val="bottom"/>
            <w:tcBorders>
              <w:bottom w:val="single" w:sz="8" w:color="E0E7ED"/>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E0E7ED"/>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Earnings</w:t>
            </w:r>
          </w:p>
        </w:tc>
        <w:tc>
          <w:tcPr>
            <w:tcW w:w="6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Borders>
              <w:bottom w:val="single" w:sz="8" w:color="E0E7ED"/>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39"/>
        </w:trPr>
        <w:tc>
          <w:tcPr>
            <w:tcW w:w="2600" w:type="dxa"/>
            <w:vAlign w:val="bottom"/>
            <w:shd w:val="clear" w:color="auto" w:fill="E0E7ED"/>
          </w:tcPr>
          <w:p>
            <w:pPr>
              <w:ind w:left="20"/>
              <w:spacing w:after="0"/>
              <w:rPr>
                <w:sz w:val="20"/>
                <w:szCs w:val="20"/>
                <w:color w:val="auto"/>
              </w:rPr>
            </w:pPr>
            <w:r>
              <w:rPr>
                <w:rFonts w:ascii="Arial" w:cs="Arial" w:eastAsia="Arial" w:hAnsi="Arial"/>
                <w:sz w:val="11"/>
                <w:szCs w:val="11"/>
                <w:b w:val="1"/>
                <w:bCs w:val="1"/>
                <w:color w:val="auto"/>
              </w:rPr>
              <w:t>Balance, December 31, 2024</w:t>
            </w:r>
          </w:p>
        </w:tc>
        <w:tc>
          <w:tcPr>
            <w:tcW w:w="96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56,895,981</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E0E7ED"/>
          </w:tcPr>
          <w:p>
            <w:pPr>
              <w:ind w:left="600"/>
              <w:spacing w:after="0"/>
              <w:rPr>
                <w:sz w:val="20"/>
                <w:szCs w:val="20"/>
                <w:color w:val="auto"/>
              </w:rPr>
            </w:pPr>
            <w:r>
              <w:rPr>
                <w:rFonts w:ascii="Arial" w:cs="Arial" w:eastAsia="Arial" w:hAnsi="Arial"/>
                <w:sz w:val="11"/>
                <w:szCs w:val="11"/>
                <w:color w:val="auto"/>
              </w:rPr>
              <w:t>—</w:t>
            </w:r>
          </w:p>
        </w:tc>
        <w:tc>
          <w:tcPr>
            <w:tcW w:w="160" w:type="dxa"/>
            <w:vAlign w:val="bottom"/>
            <w:shd w:val="clear" w:color="auto" w:fill="E0E7ED"/>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60</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1,360,530</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294,054</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(207,039)</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(64,336)</w:t>
            </w:r>
          </w:p>
        </w:tc>
        <w:tc>
          <w:tcPr>
            <w:tcW w:w="80" w:type="dxa"/>
            <w:vAlign w:val="bottom"/>
            <w:shd w:val="clear" w:color="auto" w:fill="E0E7ED"/>
          </w:tcPr>
          <w:p>
            <w:pPr>
              <w:spacing w:after="0"/>
              <w:rPr>
                <w:sz w:val="12"/>
                <w:szCs w:val="12"/>
                <w:color w:val="auto"/>
              </w:rPr>
            </w:pPr>
          </w:p>
        </w:tc>
        <w:tc>
          <w:tcPr>
            <w:tcW w:w="80" w:type="dxa"/>
            <w:vAlign w:val="bottom"/>
            <w:shd w:val="clear" w:color="auto" w:fill="E0E7ED"/>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1,383,269</w:t>
            </w:r>
          </w:p>
        </w:tc>
        <w:tc>
          <w:tcPr>
            <w:tcW w:w="0" w:type="dxa"/>
            <w:vAlign w:val="bottom"/>
          </w:tcPr>
          <w:p>
            <w:pPr>
              <w:spacing w:after="0"/>
              <w:rPr>
                <w:sz w:val="1"/>
                <w:szCs w:val="1"/>
                <w:color w:val="auto"/>
              </w:rPr>
            </w:pPr>
          </w:p>
        </w:tc>
      </w:tr>
      <w:tr>
        <w:trPr>
          <w:trHeight w:val="149"/>
        </w:trPr>
        <w:tc>
          <w:tcPr>
            <w:tcW w:w="260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(29,990)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(29,990)</w:t>
            </w:r>
          </w:p>
        </w:tc>
        <w:tc>
          <w:tcPr>
            <w:tcW w:w="0" w:type="dxa"/>
            <w:vAlign w:val="bottom"/>
          </w:tcPr>
          <w:p>
            <w:pPr>
              <w:spacing w:after="0"/>
              <w:rPr>
                <w:sz w:val="1"/>
                <w:szCs w:val="1"/>
                <w:color w:val="auto"/>
              </w:rPr>
            </w:pPr>
          </w:p>
        </w:tc>
      </w:tr>
      <w:tr>
        <w:trPr>
          <w:trHeight w:val="149"/>
        </w:trPr>
        <w:tc>
          <w:tcPr>
            <w:tcW w:w="2600" w:type="dxa"/>
            <w:vAlign w:val="bottom"/>
            <w:shd w:val="clear" w:color="auto" w:fill="E0E7ED"/>
          </w:tcPr>
          <w:p>
            <w:pPr>
              <w:ind w:left="140"/>
              <w:spacing w:after="0"/>
              <w:rPr>
                <w:sz w:val="20"/>
                <w:szCs w:val="20"/>
                <w:color w:val="auto"/>
              </w:rPr>
            </w:pPr>
            <w:r>
              <w:rPr>
                <w:rFonts w:ascii="Arial" w:cs="Arial" w:eastAsia="Arial" w:hAnsi="Arial"/>
                <w:sz w:val="11"/>
                <w:szCs w:val="11"/>
                <w:color w:val="auto"/>
              </w:rPr>
              <w:t>OCI, net of tax</w:t>
            </w:r>
          </w:p>
        </w:tc>
        <w:tc>
          <w:tcPr>
            <w:tcW w:w="96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820" w:type="dxa"/>
            <w:vAlign w:val="bottom"/>
            <w:gridSpan w:val="2"/>
            <w:shd w:val="clear" w:color="auto" w:fill="E0E7ED"/>
          </w:tcPr>
          <w:p>
            <w:pPr>
              <w:ind w:left="600"/>
              <w:spacing w:after="0"/>
              <w:rPr>
                <w:sz w:val="20"/>
                <w:szCs w:val="20"/>
                <w:color w:val="auto"/>
              </w:rPr>
            </w:pPr>
            <w:r>
              <w:rPr>
                <w:rFonts w:ascii="Arial" w:cs="Arial" w:eastAsia="Arial" w:hAnsi="Arial"/>
                <w:sz w:val="11"/>
                <w:szCs w:val="11"/>
                <w:color w:val="auto"/>
              </w:rPr>
              <w:t>—</w:t>
            </w:r>
          </w:p>
        </w:tc>
        <w:tc>
          <w:tcPr>
            <w:tcW w:w="160" w:type="dxa"/>
            <w:vAlign w:val="bottom"/>
            <w:shd w:val="clear" w:color="auto" w:fill="E0E7ED"/>
          </w:tcPr>
          <w:p>
            <w:pPr>
              <w:spacing w:after="0"/>
              <w:rPr>
                <w:sz w:val="12"/>
                <w:szCs w:val="12"/>
                <w:color w:val="auto"/>
              </w:rPr>
            </w:pPr>
          </w:p>
        </w:tc>
        <w:tc>
          <w:tcPr>
            <w:tcW w:w="800" w:type="dxa"/>
            <w:vAlign w:val="bottom"/>
            <w:gridSpan w:val="2"/>
            <w:shd w:val="clear" w:color="auto" w:fill="E0E7ED"/>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34,229</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E0E7ED"/>
          </w:tcPr>
          <w:p>
            <w:pPr>
              <w:spacing w:after="0"/>
              <w:rPr>
                <w:sz w:val="12"/>
                <w:szCs w:val="12"/>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34,229</w:t>
            </w:r>
          </w:p>
        </w:tc>
        <w:tc>
          <w:tcPr>
            <w:tcW w:w="0" w:type="dxa"/>
            <w:vAlign w:val="bottom"/>
          </w:tcPr>
          <w:p>
            <w:pPr>
              <w:spacing w:after="0"/>
              <w:rPr>
                <w:sz w:val="1"/>
                <w:szCs w:val="1"/>
                <w:color w:val="auto"/>
              </w:rPr>
            </w:pPr>
          </w:p>
        </w:tc>
      </w:tr>
      <w:tr>
        <w:trPr>
          <w:trHeight w:val="117"/>
        </w:trPr>
        <w:tc>
          <w:tcPr>
            <w:tcW w:w="2600" w:type="dxa"/>
            <w:vAlign w:val="bottom"/>
          </w:tcPr>
          <w:p>
            <w:pPr>
              <w:ind w:left="140"/>
              <w:spacing w:after="0" w:line="117" w:lineRule="exact"/>
              <w:rPr>
                <w:sz w:val="20"/>
                <w:szCs w:val="20"/>
                <w:color w:val="auto"/>
              </w:rPr>
            </w:pPr>
            <w:r>
              <w:rPr>
                <w:rFonts w:ascii="Arial" w:cs="Arial" w:eastAsia="Arial" w:hAnsi="Arial"/>
                <w:sz w:val="11"/>
                <w:szCs w:val="11"/>
                <w:color w:val="auto"/>
              </w:rPr>
              <w:t>Stock issued in acquisition, net of stock</w:t>
            </w:r>
          </w:p>
        </w:tc>
        <w:tc>
          <w:tcPr>
            <w:tcW w:w="900" w:type="dxa"/>
            <w:vAlign w:val="bottom"/>
            <w:vMerge w:val="restart"/>
          </w:tcPr>
          <w:p>
            <w:pPr>
              <w:jc w:val="right"/>
              <w:ind w:right="3"/>
              <w:spacing w:after="0"/>
              <w:rPr>
                <w:sz w:val="20"/>
                <w:szCs w:val="20"/>
                <w:color w:val="auto"/>
              </w:rPr>
            </w:pPr>
            <w:r>
              <w:rPr>
                <w:rFonts w:ascii="Arial" w:cs="Arial" w:eastAsia="Arial" w:hAnsi="Arial"/>
                <w:sz w:val="11"/>
                <w:szCs w:val="11"/>
                <w:color w:val="auto"/>
              </w:rPr>
              <w:t>7,750</w:t>
            </w:r>
          </w:p>
        </w:tc>
        <w:tc>
          <w:tcPr>
            <w:tcW w:w="60" w:type="dxa"/>
            <w:vAlign w:val="bottom"/>
          </w:tcPr>
          <w:p>
            <w:pPr>
              <w:spacing w:after="0"/>
              <w:rPr>
                <w:sz w:val="10"/>
                <w:szCs w:val="10"/>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1"/>
                <w:szCs w:val="11"/>
                <w:color w:val="auto"/>
              </w:rPr>
              <w:t>33,148,268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1"/>
                <w:szCs w:val="11"/>
                <w:color w:val="auto"/>
              </w:rPr>
              <w:t>808,022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808,055</w:t>
            </w:r>
          </w:p>
        </w:tc>
        <w:tc>
          <w:tcPr>
            <w:tcW w:w="0" w:type="dxa"/>
            <w:vAlign w:val="bottom"/>
          </w:tcPr>
          <w:p>
            <w:pPr>
              <w:spacing w:after="0"/>
              <w:rPr>
                <w:sz w:val="1"/>
                <w:szCs w:val="1"/>
                <w:color w:val="auto"/>
              </w:rPr>
            </w:pPr>
          </w:p>
        </w:tc>
      </w:tr>
      <w:tr>
        <w:trPr>
          <w:trHeight w:val="138"/>
        </w:trPr>
        <w:tc>
          <w:tcPr>
            <w:tcW w:w="2600" w:type="dxa"/>
            <w:vAlign w:val="bottom"/>
          </w:tcPr>
          <w:p>
            <w:pPr>
              <w:ind w:left="140"/>
              <w:spacing w:after="0"/>
              <w:rPr>
                <w:sz w:val="20"/>
                <w:szCs w:val="20"/>
                <w:color w:val="auto"/>
              </w:rPr>
            </w:pPr>
            <w:r>
              <w:rPr>
                <w:rFonts w:ascii="Arial" w:cs="Arial" w:eastAsia="Arial" w:hAnsi="Arial"/>
                <w:sz w:val="11"/>
                <w:szCs w:val="11"/>
                <w:color w:val="auto"/>
              </w:rPr>
              <w:t>issuance costs</w:t>
            </w: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E0E7ED"/>
          </w:tcPr>
          <w:p>
            <w:pPr>
              <w:ind w:left="140"/>
              <w:spacing w:after="0"/>
              <w:rPr>
                <w:sz w:val="20"/>
                <w:szCs w:val="20"/>
                <w:color w:val="auto"/>
              </w:rPr>
            </w:pPr>
            <w:r>
              <w:rPr>
                <w:rFonts w:ascii="Arial" w:cs="Arial" w:eastAsia="Arial" w:hAnsi="Arial"/>
                <w:sz w:val="11"/>
                <w:szCs w:val="11"/>
                <w:color w:val="auto"/>
              </w:rPr>
              <w:t>Repurchase of stock</w:t>
            </w:r>
          </w:p>
        </w:tc>
        <w:tc>
          <w:tcPr>
            <w:tcW w:w="96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(220,000)</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20" w:type="dxa"/>
            <w:vAlign w:val="bottom"/>
            <w:gridSpan w:val="2"/>
            <w:shd w:val="clear" w:color="auto" w:fill="E0E7ED"/>
          </w:tcPr>
          <w:p>
            <w:pPr>
              <w:ind w:left="600"/>
              <w:spacing w:after="0"/>
              <w:rPr>
                <w:sz w:val="20"/>
                <w:szCs w:val="20"/>
                <w:color w:val="auto"/>
              </w:rPr>
            </w:pPr>
            <w:r>
              <w:rPr>
                <w:rFonts w:ascii="Arial" w:cs="Arial" w:eastAsia="Arial" w:hAnsi="Arial"/>
                <w:sz w:val="11"/>
                <w:szCs w:val="11"/>
                <w:color w:val="auto"/>
              </w:rPr>
              <w:t>—</w:t>
            </w:r>
          </w:p>
        </w:tc>
        <w:tc>
          <w:tcPr>
            <w:tcW w:w="160" w:type="dxa"/>
            <w:vAlign w:val="bottom"/>
            <w:shd w:val="clear" w:color="auto" w:fill="E0E7ED"/>
          </w:tcPr>
          <w:p>
            <w:pPr>
              <w:spacing w:after="0"/>
              <w:rPr>
                <w:sz w:val="12"/>
                <w:szCs w:val="12"/>
                <w:color w:val="auto"/>
              </w:rPr>
            </w:pPr>
          </w:p>
        </w:tc>
        <w:tc>
          <w:tcPr>
            <w:tcW w:w="800" w:type="dxa"/>
            <w:vAlign w:val="bottom"/>
            <w:gridSpan w:val="2"/>
            <w:shd w:val="clear" w:color="auto" w:fill="E0E7ED"/>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7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(4,836)</w:t>
            </w:r>
          </w:p>
        </w:tc>
        <w:tc>
          <w:tcPr>
            <w:tcW w:w="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(4,836)</w:t>
            </w:r>
          </w:p>
        </w:tc>
        <w:tc>
          <w:tcPr>
            <w:tcW w:w="0" w:type="dxa"/>
            <w:vAlign w:val="bottom"/>
          </w:tcPr>
          <w:p>
            <w:pPr>
              <w:spacing w:after="0"/>
              <w:rPr>
                <w:sz w:val="1"/>
                <w:szCs w:val="1"/>
                <w:color w:val="auto"/>
              </w:rPr>
            </w:pPr>
          </w:p>
        </w:tc>
      </w:tr>
      <w:tr>
        <w:trPr>
          <w:trHeight w:val="149"/>
        </w:trPr>
        <w:tc>
          <w:tcPr>
            <w:tcW w:w="2600" w:type="dxa"/>
            <w:vAlign w:val="bottom"/>
          </w:tcPr>
          <w:p>
            <w:pPr>
              <w:ind w:left="140"/>
              <w:spacing w:after="0"/>
              <w:rPr>
                <w:sz w:val="20"/>
                <w:szCs w:val="20"/>
                <w:color w:val="auto"/>
              </w:rPr>
            </w:pPr>
            <w:r>
              <w:rPr>
                <w:rFonts w:ascii="Arial" w:cs="Arial" w:eastAsia="Arial" w:hAnsi="Arial"/>
                <w:sz w:val="11"/>
                <w:szCs w:val="11"/>
                <w:color w:val="auto"/>
              </w:rPr>
              <w:t>Issuance of treasury stock for ESPP</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33,728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619</w:t>
            </w:r>
          </w:p>
        </w:tc>
        <w:tc>
          <w:tcPr>
            <w:tcW w:w="0" w:type="dxa"/>
            <w:vAlign w:val="bottom"/>
          </w:tcPr>
          <w:p>
            <w:pPr>
              <w:spacing w:after="0"/>
              <w:rPr>
                <w:sz w:val="1"/>
                <w:szCs w:val="1"/>
                <w:color w:val="auto"/>
              </w:rPr>
            </w:pPr>
          </w:p>
        </w:tc>
      </w:tr>
      <w:tr>
        <w:trPr>
          <w:trHeight w:val="117"/>
        </w:trPr>
        <w:tc>
          <w:tcPr>
            <w:tcW w:w="2600" w:type="dxa"/>
            <w:vAlign w:val="bottom"/>
            <w:shd w:val="clear" w:color="auto" w:fill="E0E7ED"/>
          </w:tcPr>
          <w:p>
            <w:pPr>
              <w:ind w:left="140"/>
              <w:spacing w:after="0" w:line="117" w:lineRule="exact"/>
              <w:rPr>
                <w:sz w:val="20"/>
                <w:szCs w:val="20"/>
                <w:color w:val="auto"/>
              </w:rPr>
            </w:pPr>
            <w:r>
              <w:rPr>
                <w:rFonts w:ascii="Arial" w:cs="Arial" w:eastAsia="Arial" w:hAnsi="Arial"/>
                <w:sz w:val="11"/>
                <w:szCs w:val="11"/>
                <w:color w:val="auto"/>
              </w:rPr>
              <w:t>Net issuance of treasury stock for</w:t>
            </w:r>
          </w:p>
        </w:tc>
        <w:tc>
          <w:tcPr>
            <w:tcW w:w="96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E0E7ED"/>
          </w:tcPr>
          <w:p>
            <w:pPr>
              <w:jc w:val="right"/>
              <w:ind w:right="3"/>
              <w:spacing w:after="0"/>
              <w:rPr>
                <w:sz w:val="20"/>
                <w:szCs w:val="20"/>
                <w:color w:val="auto"/>
              </w:rPr>
            </w:pPr>
            <w:r>
              <w:rPr>
                <w:rFonts w:ascii="Arial" w:cs="Arial" w:eastAsia="Arial" w:hAnsi="Arial"/>
                <w:sz w:val="11"/>
                <w:szCs w:val="11"/>
                <w:color w:val="auto"/>
              </w:rPr>
              <w:t>146,943</w:t>
            </w:r>
          </w:p>
        </w:tc>
        <w:tc>
          <w:tcPr>
            <w:tcW w:w="60" w:type="dxa"/>
            <w:vAlign w:val="bottom"/>
            <w:shd w:val="clear" w:color="auto" w:fill="E0E7ED"/>
          </w:tcPr>
          <w:p>
            <w:pPr>
              <w:spacing w:after="0"/>
              <w:rPr>
                <w:sz w:val="10"/>
                <w:szCs w:val="10"/>
                <w:color w:val="auto"/>
              </w:rPr>
            </w:pPr>
          </w:p>
        </w:tc>
        <w:tc>
          <w:tcPr>
            <w:tcW w:w="140" w:type="dxa"/>
            <w:vAlign w:val="bottom"/>
            <w:shd w:val="clear" w:color="auto" w:fill="E0E7ED"/>
          </w:tcPr>
          <w:p>
            <w:pPr>
              <w:spacing w:after="0"/>
              <w:rPr>
                <w:sz w:val="10"/>
                <w:szCs w:val="10"/>
                <w:color w:val="auto"/>
              </w:rPr>
            </w:pPr>
          </w:p>
        </w:tc>
        <w:tc>
          <w:tcPr>
            <w:tcW w:w="820" w:type="dxa"/>
            <w:vAlign w:val="bottom"/>
            <w:gridSpan w:val="2"/>
            <w:vMerge w:val="restart"/>
            <w:shd w:val="clear" w:color="auto" w:fill="E0E7ED"/>
          </w:tcPr>
          <w:p>
            <w:pPr>
              <w:ind w:left="600"/>
              <w:spacing w:after="0"/>
              <w:rPr>
                <w:sz w:val="20"/>
                <w:szCs w:val="20"/>
                <w:color w:val="auto"/>
              </w:rPr>
            </w:pPr>
            <w:r>
              <w:rPr>
                <w:rFonts w:ascii="Arial" w:cs="Arial" w:eastAsia="Arial" w:hAnsi="Arial"/>
                <w:sz w:val="11"/>
                <w:szCs w:val="11"/>
                <w:color w:val="auto"/>
              </w:rPr>
              <w:t>—</w:t>
            </w:r>
          </w:p>
        </w:tc>
        <w:tc>
          <w:tcPr>
            <w:tcW w:w="160" w:type="dxa"/>
            <w:vAlign w:val="bottom"/>
            <w:shd w:val="clear" w:color="auto" w:fill="E0E7ED"/>
          </w:tcPr>
          <w:p>
            <w:pPr>
              <w:spacing w:after="0"/>
              <w:rPr>
                <w:sz w:val="10"/>
                <w:szCs w:val="10"/>
                <w:color w:val="auto"/>
              </w:rPr>
            </w:pPr>
          </w:p>
        </w:tc>
        <w:tc>
          <w:tcPr>
            <w:tcW w:w="800" w:type="dxa"/>
            <w:vAlign w:val="bottom"/>
            <w:gridSpan w:val="2"/>
            <w:vMerge w:val="restart"/>
            <w:shd w:val="clear" w:color="auto" w:fill="E0E7ED"/>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0"/>
                <w:szCs w:val="10"/>
                <w:color w:val="auto"/>
              </w:rPr>
            </w:pPr>
          </w:p>
        </w:tc>
        <w:tc>
          <w:tcPr>
            <w:tcW w:w="780" w:type="dxa"/>
            <w:vAlign w:val="bottom"/>
            <w:vMerge w:val="restart"/>
            <w:shd w:val="clear" w:color="auto" w:fill="E0E7ED"/>
          </w:tcPr>
          <w:p>
            <w:pPr>
              <w:jc w:val="right"/>
              <w:spacing w:after="0"/>
              <w:rPr>
                <w:sz w:val="20"/>
                <w:szCs w:val="20"/>
                <w:color w:val="auto"/>
              </w:rPr>
            </w:pPr>
            <w:r>
              <w:rPr>
                <w:rFonts w:ascii="Arial" w:cs="Arial" w:eastAsia="Arial" w:hAnsi="Arial"/>
                <w:sz w:val="11"/>
                <w:szCs w:val="11"/>
                <w:color w:val="auto"/>
              </w:rPr>
              <w:t>(4,665)</w:t>
            </w:r>
          </w:p>
        </w:tc>
        <w:tc>
          <w:tcPr>
            <w:tcW w:w="60" w:type="dxa"/>
            <w:vAlign w:val="bottom"/>
            <w:shd w:val="clear" w:color="auto" w:fill="E0E7ED"/>
          </w:tcPr>
          <w:p>
            <w:pPr>
              <w:spacing w:after="0"/>
              <w:rPr>
                <w:sz w:val="10"/>
                <w:szCs w:val="10"/>
                <w:color w:val="auto"/>
              </w:rPr>
            </w:pPr>
          </w:p>
        </w:tc>
        <w:tc>
          <w:tcPr>
            <w:tcW w:w="140" w:type="dxa"/>
            <w:vAlign w:val="bottom"/>
            <w:shd w:val="clear" w:color="auto" w:fill="E0E7ED"/>
          </w:tcPr>
          <w:p>
            <w:pPr>
              <w:spacing w:after="0"/>
              <w:rPr>
                <w:sz w:val="10"/>
                <w:szCs w:val="10"/>
                <w:color w:val="auto"/>
              </w:rPr>
            </w:pPr>
          </w:p>
        </w:tc>
        <w:tc>
          <w:tcPr>
            <w:tcW w:w="84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E0E7ED"/>
          </w:tcPr>
          <w:p>
            <w:pPr>
              <w:spacing w:after="0"/>
              <w:rPr>
                <w:sz w:val="10"/>
                <w:szCs w:val="10"/>
                <w:color w:val="auto"/>
              </w:rPr>
            </w:pPr>
          </w:p>
        </w:tc>
        <w:tc>
          <w:tcPr>
            <w:tcW w:w="78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0"/>
                <w:szCs w:val="10"/>
                <w:color w:val="auto"/>
              </w:rPr>
            </w:pPr>
          </w:p>
        </w:tc>
        <w:tc>
          <w:tcPr>
            <w:tcW w:w="760" w:type="dxa"/>
            <w:vAlign w:val="bottom"/>
            <w:vMerge w:val="restart"/>
            <w:shd w:val="clear" w:color="auto" w:fill="E0E7ED"/>
          </w:tcPr>
          <w:p>
            <w:pPr>
              <w:jc w:val="right"/>
              <w:spacing w:after="0"/>
              <w:rPr>
                <w:sz w:val="20"/>
                <w:szCs w:val="20"/>
                <w:color w:val="auto"/>
              </w:rPr>
            </w:pPr>
            <w:r>
              <w:rPr>
                <w:rFonts w:ascii="Arial" w:cs="Arial" w:eastAsia="Arial" w:hAnsi="Arial"/>
                <w:sz w:val="11"/>
                <w:szCs w:val="11"/>
                <w:color w:val="auto"/>
              </w:rPr>
              <w:t>3,784</w:t>
            </w:r>
          </w:p>
        </w:tc>
        <w:tc>
          <w:tcPr>
            <w:tcW w:w="8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820" w:type="dxa"/>
            <w:vAlign w:val="bottom"/>
            <w:vMerge w:val="restart"/>
            <w:shd w:val="clear" w:color="auto" w:fill="E0E7ED"/>
          </w:tcPr>
          <w:p>
            <w:pPr>
              <w:jc w:val="right"/>
              <w:spacing w:after="0"/>
              <w:rPr>
                <w:sz w:val="20"/>
                <w:szCs w:val="20"/>
                <w:color w:val="auto"/>
              </w:rPr>
            </w:pPr>
            <w:r>
              <w:rPr>
                <w:rFonts w:ascii="Arial" w:cs="Arial" w:eastAsia="Arial" w:hAnsi="Arial"/>
                <w:sz w:val="11"/>
                <w:szCs w:val="11"/>
                <w:color w:val="auto"/>
              </w:rPr>
              <w:t>(881)</w:t>
            </w:r>
          </w:p>
        </w:tc>
        <w:tc>
          <w:tcPr>
            <w:tcW w:w="0" w:type="dxa"/>
            <w:vAlign w:val="bottom"/>
          </w:tcPr>
          <w:p>
            <w:pPr>
              <w:spacing w:after="0"/>
              <w:rPr>
                <w:sz w:val="1"/>
                <w:szCs w:val="1"/>
                <w:color w:val="auto"/>
              </w:rPr>
            </w:pPr>
          </w:p>
        </w:tc>
      </w:tr>
      <w:tr>
        <w:trPr>
          <w:trHeight w:val="138"/>
        </w:trPr>
        <w:tc>
          <w:tcPr>
            <w:tcW w:w="2600" w:type="dxa"/>
            <w:vAlign w:val="bottom"/>
            <w:shd w:val="clear" w:color="auto" w:fill="E0E7ED"/>
          </w:tcPr>
          <w:p>
            <w:pPr>
              <w:ind w:left="140"/>
              <w:spacing w:after="0"/>
              <w:rPr>
                <w:sz w:val="20"/>
                <w:szCs w:val="20"/>
                <w:color w:val="auto"/>
              </w:rPr>
            </w:pPr>
            <w:r>
              <w:rPr>
                <w:rFonts w:ascii="Arial" w:cs="Arial" w:eastAsia="Arial" w:hAnsi="Arial"/>
                <w:sz w:val="11"/>
                <w:szCs w:val="11"/>
                <w:color w:val="auto"/>
              </w:rPr>
              <w:t>RSU/PSU/DSU vesting and related tax</w:t>
            </w:r>
          </w:p>
        </w:tc>
        <w:tc>
          <w:tcPr>
            <w:tcW w:w="960" w:type="dxa"/>
            <w:vAlign w:val="bottom"/>
            <w:gridSpan w:val="2"/>
            <w:vMerge w:val="continue"/>
            <w:shd w:val="clear" w:color="auto" w:fill="E0E7ED"/>
          </w:tcPr>
          <w:p>
            <w:pPr>
              <w:spacing w:after="0"/>
              <w:rPr>
                <w:sz w:val="11"/>
                <w:szCs w:val="11"/>
                <w:color w:val="auto"/>
              </w:rPr>
            </w:pPr>
          </w:p>
        </w:tc>
        <w:tc>
          <w:tcPr>
            <w:tcW w:w="920" w:type="dxa"/>
            <w:vAlign w:val="bottom"/>
            <w:vMerge w:val="continue"/>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820" w:type="dxa"/>
            <w:vAlign w:val="bottom"/>
            <w:gridSpan w:val="2"/>
            <w:vMerge w:val="continue"/>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800" w:type="dxa"/>
            <w:vAlign w:val="bottom"/>
            <w:gridSpan w:val="2"/>
            <w:vMerge w:val="continue"/>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780" w:type="dxa"/>
            <w:vAlign w:val="bottom"/>
            <w:vMerge w:val="continue"/>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840" w:type="dxa"/>
            <w:vAlign w:val="bottom"/>
            <w:gridSpan w:val="2"/>
            <w:vMerge w:val="continue"/>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80" w:type="dxa"/>
            <w:vAlign w:val="bottom"/>
            <w:gridSpan w:val="2"/>
            <w:vMerge w:val="continue"/>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760" w:type="dxa"/>
            <w:vAlign w:val="bottom"/>
            <w:vMerge w:val="continue"/>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820" w:type="dxa"/>
            <w:vAlign w:val="bottom"/>
            <w:vMerge w:val="continue"/>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00" w:type="dxa"/>
            <w:vAlign w:val="bottom"/>
          </w:tcPr>
          <w:p>
            <w:pPr>
              <w:ind w:left="140"/>
              <w:spacing w:after="0" w:line="117" w:lineRule="exact"/>
              <w:rPr>
                <w:sz w:val="20"/>
                <w:szCs w:val="20"/>
                <w:color w:val="auto"/>
              </w:rPr>
            </w:pPr>
            <w:r>
              <w:rPr>
                <w:rFonts w:ascii="Arial" w:cs="Arial" w:eastAsia="Arial" w:hAnsi="Arial"/>
                <w:sz w:val="11"/>
                <w:szCs w:val="11"/>
                <w:color w:val="auto"/>
              </w:rPr>
              <w:t>Net issuance of treasury stock for SSARs</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3"/>
              <w:spacing w:after="0"/>
              <w:rPr>
                <w:sz w:val="20"/>
                <w:szCs w:val="20"/>
                <w:color w:val="auto"/>
              </w:rPr>
            </w:pPr>
            <w:r>
              <w:rPr>
                <w:rFonts w:ascii="Arial" w:cs="Arial" w:eastAsia="Arial" w:hAnsi="Arial"/>
                <w:sz w:val="11"/>
                <w:szCs w:val="11"/>
                <w:color w:val="auto"/>
              </w:rPr>
              <w:t>3,258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(113)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38"/>
        </w:trPr>
        <w:tc>
          <w:tcPr>
            <w:tcW w:w="2600" w:type="dxa"/>
            <w:vAlign w:val="bottom"/>
          </w:tcPr>
          <w:p>
            <w:pPr>
              <w:ind w:left="140"/>
              <w:spacing w:after="0"/>
              <w:rPr>
                <w:sz w:val="20"/>
                <w:szCs w:val="20"/>
                <w:color w:val="auto"/>
              </w:rPr>
            </w:pPr>
            <w:r>
              <w:rPr>
                <w:rFonts w:ascii="Arial" w:cs="Arial" w:eastAsia="Arial" w:hAnsi="Arial"/>
                <w:sz w:val="11"/>
                <w:szCs w:val="11"/>
                <w:color w:val="auto"/>
              </w:rPr>
              <w:t>exercised and related tax</w:t>
            </w:r>
          </w:p>
        </w:tc>
        <w:tc>
          <w:tcPr>
            <w:tcW w:w="9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00" w:type="dxa"/>
            <w:vAlign w:val="bottom"/>
            <w:shd w:val="clear" w:color="auto" w:fill="E0E7ED"/>
          </w:tcPr>
          <w:p>
            <w:pPr>
              <w:ind w:left="140"/>
              <w:spacing w:after="0" w:line="117" w:lineRule="exact"/>
              <w:rPr>
                <w:sz w:val="20"/>
                <w:szCs w:val="20"/>
                <w:color w:val="auto"/>
              </w:rPr>
            </w:pPr>
            <w:r>
              <w:rPr>
                <w:rFonts w:ascii="Arial" w:cs="Arial" w:eastAsia="Arial" w:hAnsi="Arial"/>
                <w:sz w:val="11"/>
                <w:szCs w:val="11"/>
                <w:color w:val="auto"/>
              </w:rPr>
              <w:t>Cash dividends on common stock at $0.25 per</w:t>
            </w:r>
          </w:p>
        </w:tc>
        <w:tc>
          <w:tcPr>
            <w:tcW w:w="96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0"/>
                <w:szCs w:val="10"/>
                <w:color w:val="auto"/>
              </w:rPr>
            </w:pPr>
          </w:p>
        </w:tc>
        <w:tc>
          <w:tcPr>
            <w:tcW w:w="820" w:type="dxa"/>
            <w:vAlign w:val="bottom"/>
            <w:gridSpan w:val="2"/>
            <w:vMerge w:val="restart"/>
            <w:shd w:val="clear" w:color="auto" w:fill="E0E7ED"/>
          </w:tcPr>
          <w:p>
            <w:pPr>
              <w:ind w:left="600"/>
              <w:spacing w:after="0"/>
              <w:rPr>
                <w:sz w:val="20"/>
                <w:szCs w:val="20"/>
                <w:color w:val="auto"/>
              </w:rPr>
            </w:pPr>
            <w:r>
              <w:rPr>
                <w:rFonts w:ascii="Arial" w:cs="Arial" w:eastAsia="Arial" w:hAnsi="Arial"/>
                <w:sz w:val="11"/>
                <w:szCs w:val="11"/>
                <w:color w:val="auto"/>
              </w:rPr>
              <w:t>—</w:t>
            </w:r>
          </w:p>
        </w:tc>
        <w:tc>
          <w:tcPr>
            <w:tcW w:w="160" w:type="dxa"/>
            <w:vAlign w:val="bottom"/>
            <w:shd w:val="clear" w:color="auto" w:fill="E0E7ED"/>
          </w:tcPr>
          <w:p>
            <w:pPr>
              <w:spacing w:after="0"/>
              <w:rPr>
                <w:sz w:val="10"/>
                <w:szCs w:val="10"/>
                <w:color w:val="auto"/>
              </w:rPr>
            </w:pPr>
          </w:p>
        </w:tc>
        <w:tc>
          <w:tcPr>
            <w:tcW w:w="800" w:type="dxa"/>
            <w:vAlign w:val="bottom"/>
            <w:gridSpan w:val="2"/>
            <w:vMerge w:val="restart"/>
            <w:shd w:val="clear" w:color="auto" w:fill="E0E7ED"/>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0"/>
                <w:szCs w:val="10"/>
                <w:color w:val="auto"/>
              </w:rPr>
            </w:pPr>
          </w:p>
        </w:tc>
        <w:tc>
          <w:tcPr>
            <w:tcW w:w="84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0"/>
                <w:szCs w:val="10"/>
                <w:color w:val="auto"/>
              </w:rPr>
            </w:pPr>
          </w:p>
        </w:tc>
        <w:tc>
          <w:tcPr>
            <w:tcW w:w="780" w:type="dxa"/>
            <w:vAlign w:val="bottom"/>
            <w:vMerge w:val="restart"/>
            <w:shd w:val="clear" w:color="auto" w:fill="E0E7ED"/>
          </w:tcPr>
          <w:p>
            <w:pPr>
              <w:jc w:val="right"/>
              <w:spacing w:after="0"/>
              <w:rPr>
                <w:sz w:val="20"/>
                <w:szCs w:val="20"/>
                <w:color w:val="auto"/>
              </w:rPr>
            </w:pPr>
            <w:r>
              <w:rPr>
                <w:rFonts w:ascii="Arial" w:cs="Arial" w:eastAsia="Arial" w:hAnsi="Arial"/>
                <w:sz w:val="11"/>
                <w:szCs w:val="11"/>
                <w:color w:val="auto"/>
              </w:rPr>
              <w:t>(14,224)</w:t>
            </w:r>
          </w:p>
        </w:tc>
        <w:tc>
          <w:tcPr>
            <w:tcW w:w="60" w:type="dxa"/>
            <w:vAlign w:val="bottom"/>
            <w:shd w:val="clear" w:color="auto" w:fill="E0E7ED"/>
          </w:tcPr>
          <w:p>
            <w:pPr>
              <w:spacing w:after="0"/>
              <w:rPr>
                <w:sz w:val="10"/>
                <w:szCs w:val="10"/>
                <w:color w:val="auto"/>
              </w:rPr>
            </w:pPr>
          </w:p>
        </w:tc>
        <w:tc>
          <w:tcPr>
            <w:tcW w:w="200" w:type="dxa"/>
            <w:vAlign w:val="bottom"/>
            <w:shd w:val="clear" w:color="auto" w:fill="E0E7ED"/>
          </w:tcPr>
          <w:p>
            <w:pPr>
              <w:spacing w:after="0"/>
              <w:rPr>
                <w:sz w:val="10"/>
                <w:szCs w:val="10"/>
                <w:color w:val="auto"/>
              </w:rPr>
            </w:pPr>
          </w:p>
        </w:tc>
        <w:tc>
          <w:tcPr>
            <w:tcW w:w="78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0"/>
                <w:szCs w:val="10"/>
                <w:color w:val="auto"/>
              </w:rPr>
            </w:pPr>
          </w:p>
        </w:tc>
        <w:tc>
          <w:tcPr>
            <w:tcW w:w="84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E0E7ED"/>
          </w:tcPr>
          <w:p>
            <w:pPr>
              <w:spacing w:after="0"/>
              <w:rPr>
                <w:sz w:val="10"/>
                <w:szCs w:val="10"/>
                <w:color w:val="auto"/>
              </w:rPr>
            </w:pPr>
          </w:p>
        </w:tc>
        <w:tc>
          <w:tcPr>
            <w:tcW w:w="820" w:type="dxa"/>
            <w:vAlign w:val="bottom"/>
            <w:vMerge w:val="restart"/>
            <w:shd w:val="clear" w:color="auto" w:fill="E0E7ED"/>
          </w:tcPr>
          <w:p>
            <w:pPr>
              <w:jc w:val="right"/>
              <w:spacing w:after="0"/>
              <w:rPr>
                <w:sz w:val="20"/>
                <w:szCs w:val="20"/>
                <w:color w:val="auto"/>
              </w:rPr>
            </w:pPr>
            <w:r>
              <w:rPr>
                <w:rFonts w:ascii="Arial" w:cs="Arial" w:eastAsia="Arial" w:hAnsi="Arial"/>
                <w:sz w:val="11"/>
                <w:szCs w:val="11"/>
                <w:color w:val="auto"/>
              </w:rPr>
              <w:t>(14,224)</w:t>
            </w:r>
          </w:p>
        </w:tc>
        <w:tc>
          <w:tcPr>
            <w:tcW w:w="0" w:type="dxa"/>
            <w:vAlign w:val="bottom"/>
          </w:tcPr>
          <w:p>
            <w:pPr>
              <w:spacing w:after="0"/>
              <w:rPr>
                <w:sz w:val="1"/>
                <w:szCs w:val="1"/>
                <w:color w:val="auto"/>
              </w:rPr>
            </w:pPr>
          </w:p>
        </w:tc>
      </w:tr>
      <w:tr>
        <w:trPr>
          <w:trHeight w:val="138"/>
        </w:trPr>
        <w:tc>
          <w:tcPr>
            <w:tcW w:w="2600" w:type="dxa"/>
            <w:vAlign w:val="bottom"/>
            <w:shd w:val="clear" w:color="auto" w:fill="E0E7ED"/>
          </w:tcPr>
          <w:p>
            <w:pPr>
              <w:ind w:left="140"/>
              <w:spacing w:after="0"/>
              <w:rPr>
                <w:sz w:val="20"/>
                <w:szCs w:val="20"/>
                <w:color w:val="auto"/>
              </w:rPr>
            </w:pPr>
            <w:r>
              <w:rPr>
                <w:rFonts w:ascii="Arial" w:cs="Arial" w:eastAsia="Arial" w:hAnsi="Arial"/>
                <w:sz w:val="11"/>
                <w:szCs w:val="11"/>
                <w:color w:val="auto"/>
              </w:rPr>
              <w:t>share</w:t>
            </w:r>
          </w:p>
        </w:tc>
        <w:tc>
          <w:tcPr>
            <w:tcW w:w="960" w:type="dxa"/>
            <w:vAlign w:val="bottom"/>
            <w:gridSpan w:val="2"/>
            <w:vMerge w:val="continue"/>
            <w:shd w:val="clear" w:color="auto" w:fill="E0E7ED"/>
          </w:tcPr>
          <w:p>
            <w:pPr>
              <w:spacing w:after="0"/>
              <w:rPr>
                <w:sz w:val="11"/>
                <w:szCs w:val="11"/>
                <w:color w:val="auto"/>
              </w:rPr>
            </w:pPr>
          </w:p>
        </w:tc>
        <w:tc>
          <w:tcPr>
            <w:tcW w:w="980" w:type="dxa"/>
            <w:vAlign w:val="bottom"/>
            <w:gridSpan w:val="2"/>
            <w:vMerge w:val="continue"/>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820" w:type="dxa"/>
            <w:vAlign w:val="bottom"/>
            <w:gridSpan w:val="2"/>
            <w:vMerge w:val="continue"/>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800" w:type="dxa"/>
            <w:vAlign w:val="bottom"/>
            <w:gridSpan w:val="2"/>
            <w:vMerge w:val="continue"/>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840" w:type="dxa"/>
            <w:vAlign w:val="bottom"/>
            <w:gridSpan w:val="2"/>
            <w:vMerge w:val="continue"/>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780" w:type="dxa"/>
            <w:vAlign w:val="bottom"/>
            <w:vMerge w:val="continue"/>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80" w:type="dxa"/>
            <w:vAlign w:val="bottom"/>
            <w:gridSpan w:val="2"/>
            <w:vMerge w:val="continue"/>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840" w:type="dxa"/>
            <w:vAlign w:val="bottom"/>
            <w:gridSpan w:val="2"/>
            <w:vMerge w:val="continue"/>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820" w:type="dxa"/>
            <w:vAlign w:val="bottom"/>
            <w:vMerge w:val="continue"/>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00" w:type="dxa"/>
            <w:vAlign w:val="bottom"/>
          </w:tcPr>
          <w:p>
            <w:pPr>
              <w:ind w:left="140"/>
              <w:spacing w:after="0" w:line="117" w:lineRule="exact"/>
              <w:rPr>
                <w:sz w:val="20"/>
                <w:szCs w:val="20"/>
                <w:color w:val="auto"/>
              </w:rPr>
            </w:pPr>
            <w:r>
              <w:rPr>
                <w:rFonts w:ascii="Arial" w:cs="Arial" w:eastAsia="Arial" w:hAnsi="Arial"/>
                <w:sz w:val="11"/>
                <w:szCs w:val="11"/>
                <w:color w:val="auto"/>
              </w:rPr>
              <w:t>Stock dividend equivalents on</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2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1"/>
                <w:szCs w:val="11"/>
                <w:color w:val="auto"/>
              </w:rPr>
              <w:t>356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(356)</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600" w:type="dxa"/>
            <w:vAlign w:val="bottom"/>
          </w:tcPr>
          <w:p>
            <w:pPr>
              <w:ind w:left="140"/>
              <w:spacing w:after="0"/>
              <w:rPr>
                <w:sz w:val="20"/>
                <w:szCs w:val="20"/>
                <w:color w:val="auto"/>
              </w:rPr>
            </w:pPr>
            <w:r>
              <w:rPr>
                <w:rFonts w:ascii="Arial" w:cs="Arial" w:eastAsia="Arial" w:hAnsi="Arial"/>
                <w:sz w:val="11"/>
                <w:szCs w:val="11"/>
                <w:color w:val="auto"/>
              </w:rPr>
              <w:t>RSUs/PSUs/DSUs</w:t>
            </w:r>
          </w:p>
        </w:tc>
        <w:tc>
          <w:tcPr>
            <w:tcW w:w="9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E0E7ED"/>
          </w:tcPr>
          <w:p>
            <w:pPr>
              <w:ind w:left="14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92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140" w:type="dxa"/>
            <w:vAlign w:val="bottom"/>
            <w:tcBorders>
              <w:bottom w:val="single" w:sz="8" w:color="auto"/>
            </w:tcBorders>
            <w:shd w:val="clear" w:color="auto" w:fill="E0E7ED"/>
          </w:tcPr>
          <w:p>
            <w:pPr>
              <w:spacing w:after="0"/>
              <w:rPr>
                <w:sz w:val="12"/>
                <w:szCs w:val="12"/>
                <w:color w:val="auto"/>
              </w:rPr>
            </w:pPr>
          </w:p>
        </w:tc>
        <w:tc>
          <w:tcPr>
            <w:tcW w:w="760" w:type="dxa"/>
            <w:vAlign w:val="bottom"/>
            <w:tcBorders>
              <w:bottom w:val="single" w:sz="8" w:color="auto"/>
            </w:tcBorders>
            <w:shd w:val="clear" w:color="auto" w:fill="E0E7ED"/>
          </w:tcPr>
          <w:p>
            <w:pPr>
              <w:ind w:left="600"/>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160" w:type="dxa"/>
            <w:vAlign w:val="bottom"/>
            <w:tcBorders>
              <w:bottom w:val="single" w:sz="8" w:color="auto"/>
            </w:tcBorders>
            <w:shd w:val="clear" w:color="auto" w:fill="E0E7ED"/>
          </w:tcPr>
          <w:p>
            <w:pPr>
              <w:spacing w:after="0"/>
              <w:rPr>
                <w:sz w:val="12"/>
                <w:szCs w:val="12"/>
                <w:color w:val="auto"/>
              </w:rPr>
            </w:pPr>
          </w:p>
        </w:tc>
        <w:tc>
          <w:tcPr>
            <w:tcW w:w="7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140" w:type="dxa"/>
            <w:vAlign w:val="bottom"/>
            <w:tcBorders>
              <w:bottom w:val="single" w:sz="8" w:color="auto"/>
            </w:tcBorders>
            <w:shd w:val="clear" w:color="auto" w:fill="E0E7ED"/>
          </w:tcPr>
          <w:p>
            <w:pPr>
              <w:spacing w:after="0"/>
              <w:rPr>
                <w:sz w:val="12"/>
                <w:szCs w:val="12"/>
                <w:color w:val="auto"/>
              </w:rPr>
            </w:pPr>
          </w:p>
        </w:tc>
        <w:tc>
          <w:tcPr>
            <w:tcW w:w="78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3,394</w:t>
            </w:r>
          </w:p>
        </w:tc>
        <w:tc>
          <w:tcPr>
            <w:tcW w:w="60" w:type="dxa"/>
            <w:vAlign w:val="bottom"/>
            <w:shd w:val="clear" w:color="auto" w:fill="E0E7ED"/>
          </w:tcPr>
          <w:p>
            <w:pPr>
              <w:spacing w:after="0"/>
              <w:rPr>
                <w:sz w:val="12"/>
                <w:szCs w:val="12"/>
                <w:color w:val="auto"/>
              </w:rPr>
            </w:pPr>
          </w:p>
        </w:tc>
        <w:tc>
          <w:tcPr>
            <w:tcW w:w="140" w:type="dxa"/>
            <w:vAlign w:val="bottom"/>
            <w:tcBorders>
              <w:bottom w:val="single" w:sz="8" w:color="auto"/>
            </w:tcBorders>
            <w:shd w:val="clear" w:color="auto" w:fill="E0E7ED"/>
          </w:tcPr>
          <w:p>
            <w:pPr>
              <w:spacing w:after="0"/>
              <w:rPr>
                <w:sz w:val="12"/>
                <w:szCs w:val="12"/>
                <w:color w:val="auto"/>
              </w:rPr>
            </w:pPr>
          </w:p>
        </w:tc>
        <w:tc>
          <w:tcPr>
            <w:tcW w:w="78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200" w:type="dxa"/>
            <w:vAlign w:val="bottom"/>
            <w:tcBorders>
              <w:bottom w:val="single" w:sz="8" w:color="auto"/>
            </w:tcBorders>
            <w:shd w:val="clear" w:color="auto" w:fill="E0E7ED"/>
          </w:tcPr>
          <w:p>
            <w:pPr>
              <w:spacing w:after="0"/>
              <w:rPr>
                <w:sz w:val="12"/>
                <w:szCs w:val="12"/>
                <w:color w:val="auto"/>
              </w:rPr>
            </w:pPr>
          </w:p>
        </w:tc>
        <w:tc>
          <w:tcPr>
            <w:tcW w:w="72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140" w:type="dxa"/>
            <w:vAlign w:val="bottom"/>
            <w:tcBorders>
              <w:bottom w:val="single" w:sz="8" w:color="auto"/>
            </w:tcBorders>
            <w:shd w:val="clear" w:color="auto" w:fill="E0E7ED"/>
          </w:tcPr>
          <w:p>
            <w:pPr>
              <w:spacing w:after="0"/>
              <w:rPr>
                <w:sz w:val="12"/>
                <w:szCs w:val="12"/>
                <w:color w:val="auto"/>
              </w:rPr>
            </w:pPr>
          </w:p>
        </w:tc>
        <w:tc>
          <w:tcPr>
            <w:tcW w:w="7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E0E7ED"/>
          </w:tcPr>
          <w:p>
            <w:pPr>
              <w:spacing w:after="0"/>
              <w:rPr>
                <w:sz w:val="12"/>
                <w:szCs w:val="12"/>
                <w:color w:val="auto"/>
              </w:rPr>
            </w:pPr>
          </w:p>
        </w:tc>
        <w:tc>
          <w:tcPr>
            <w:tcW w:w="80" w:type="dxa"/>
            <w:vAlign w:val="bottom"/>
            <w:tcBorders>
              <w:bottom w:val="single" w:sz="8" w:color="auto"/>
            </w:tcBorders>
            <w:shd w:val="clear" w:color="auto" w:fill="E0E7ED"/>
          </w:tcPr>
          <w:p>
            <w:pPr>
              <w:spacing w:after="0"/>
              <w:rPr>
                <w:sz w:val="12"/>
                <w:szCs w:val="12"/>
                <w:color w:val="auto"/>
              </w:rPr>
            </w:pPr>
          </w:p>
        </w:tc>
        <w:tc>
          <w:tcPr>
            <w:tcW w:w="8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3,394</w:t>
            </w:r>
          </w:p>
        </w:tc>
        <w:tc>
          <w:tcPr>
            <w:tcW w:w="0" w:type="dxa"/>
            <w:vAlign w:val="bottom"/>
          </w:tcPr>
          <w:p>
            <w:pPr>
              <w:spacing w:after="0"/>
              <w:rPr>
                <w:sz w:val="1"/>
                <w:szCs w:val="1"/>
                <w:color w:val="auto"/>
              </w:rPr>
            </w:pPr>
          </w:p>
        </w:tc>
      </w:tr>
      <w:tr>
        <w:trPr>
          <w:trHeight w:val="139"/>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Balance, March 31, 2025</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7,750</w:t>
            </w:r>
          </w:p>
        </w:tc>
        <w:tc>
          <w:tcPr>
            <w:tcW w:w="60" w:type="dxa"/>
            <w:vAlign w:val="bottom"/>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90,008,178</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ind w:left="6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2,167,275</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249,484</w:t>
            </w: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(172,810)</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(64,436)</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2,179,606</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6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1"/>
                <w:szCs w:val="11"/>
                <w:b w:val="1"/>
                <w:bCs w:val="1"/>
                <w:color w:val="auto"/>
              </w:rPr>
              <w:t>Three Months Ended March 31, 2024</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1940" w:type="dxa"/>
            <w:vAlign w:val="bottom"/>
            <w:gridSpan w:val="4"/>
          </w:tcPr>
          <w:p>
            <w:pPr>
              <w:ind w:left="440"/>
              <w:spacing w:after="0"/>
              <w:rPr>
                <w:sz w:val="20"/>
                <w:szCs w:val="20"/>
                <w:color w:val="auto"/>
              </w:rPr>
            </w:pPr>
            <w:r>
              <w:rPr>
                <w:rFonts w:ascii="Arial" w:cs="Arial" w:eastAsia="Arial" w:hAnsi="Arial"/>
                <w:sz w:val="11"/>
                <w:szCs w:val="11"/>
                <w:b w:val="1"/>
                <w:bCs w:val="1"/>
                <w:color w:val="auto"/>
              </w:rPr>
              <w:t>Number of Shares</w:t>
            </w:r>
          </w:p>
        </w:tc>
        <w:tc>
          <w:tcPr>
            <w:tcW w:w="140" w:type="dxa"/>
            <w:vAlign w:val="bottom"/>
          </w:tcPr>
          <w:p>
            <w:pPr>
              <w:spacing w:after="0"/>
              <w:rPr>
                <w:sz w:val="13"/>
                <w:szCs w:val="13"/>
                <w:color w:val="auto"/>
              </w:rPr>
            </w:pPr>
          </w:p>
        </w:tc>
        <w:tc>
          <w:tcPr>
            <w:tcW w:w="980" w:type="dxa"/>
            <w:vAlign w:val="bottom"/>
            <w:gridSpan w:val="3"/>
          </w:tcPr>
          <w:p>
            <w:pPr>
              <w:ind w:left="640"/>
              <w:spacing w:after="0"/>
              <w:rPr>
                <w:sz w:val="20"/>
                <w:szCs w:val="20"/>
                <w:color w:val="auto"/>
              </w:rPr>
            </w:pPr>
            <w:r>
              <w:rPr>
                <w:rFonts w:ascii="Arial" w:cs="Arial" w:eastAsia="Arial" w:hAnsi="Arial"/>
                <w:sz w:val="11"/>
                <w:szCs w:val="11"/>
                <w:b w:val="1"/>
                <w:bCs w:val="1"/>
                <w:color w:val="auto"/>
              </w:rPr>
              <w:t>Stock</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23"/>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32"/>
        </w:trPr>
        <w:tc>
          <w:tcPr>
            <w:tcW w:w="2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restart"/>
          </w:tcPr>
          <w:p>
            <w:pPr>
              <w:jc w:val="center"/>
              <w:ind w:right="180"/>
              <w:spacing w:after="0" w:line="96"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2"/>
                <w:szCs w:val="2"/>
                <w:color w:val="auto"/>
              </w:rPr>
            </w:pPr>
          </w:p>
        </w:tc>
        <w:tc>
          <w:tcPr>
            <w:tcW w:w="840" w:type="dxa"/>
            <w:vAlign w:val="bottom"/>
            <w:gridSpan w:val="2"/>
            <w:vMerge w:val="restart"/>
          </w:tcPr>
          <w:p>
            <w:pPr>
              <w:ind w:left="80"/>
              <w:spacing w:after="0" w:line="96" w:lineRule="exact"/>
              <w:rPr>
                <w:sz w:val="20"/>
                <w:szCs w:val="20"/>
                <w:color w:val="auto"/>
              </w:rPr>
            </w:pPr>
            <w:r>
              <w:rPr>
                <w:rFonts w:ascii="Arial" w:cs="Arial" w:eastAsia="Arial" w:hAnsi="Arial"/>
                <w:sz w:val="11"/>
                <w:szCs w:val="11"/>
                <w:b w:val="1"/>
                <w:bCs w:val="1"/>
                <w:color w:val="auto"/>
              </w:rPr>
              <w:t>Retained</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restart"/>
          </w:tcPr>
          <w:p>
            <w:pPr>
              <w:jc w:val="center"/>
              <w:ind w:right="220"/>
              <w:spacing w:after="0" w:line="96" w:lineRule="exact"/>
              <w:rPr>
                <w:sz w:val="20"/>
                <w:szCs w:val="20"/>
                <w:color w:val="auto"/>
              </w:rPr>
            </w:pPr>
            <w:r>
              <w:rPr>
                <w:rFonts w:ascii="Arial" w:cs="Arial" w:eastAsia="Arial" w:hAnsi="Arial"/>
                <w:sz w:val="11"/>
                <w:szCs w:val="11"/>
                <w:b w:val="1"/>
                <w:bCs w:val="1"/>
                <w:color w:val="auto"/>
                <w:w w:val="98"/>
              </w:rPr>
              <w:t>Treasury</w:t>
            </w:r>
          </w:p>
        </w:tc>
        <w:tc>
          <w:tcPr>
            <w:tcW w:w="80" w:type="dxa"/>
            <w:vAlign w:val="bottom"/>
          </w:tcPr>
          <w:p>
            <w:pPr>
              <w:spacing w:after="0"/>
              <w:rPr>
                <w:sz w:val="2"/>
                <w:szCs w:val="2"/>
                <w:color w:val="auto"/>
              </w:rPr>
            </w:pPr>
          </w:p>
        </w:tc>
        <w:tc>
          <w:tcPr>
            <w:tcW w:w="820" w:type="dxa"/>
            <w:vAlign w:val="bottom"/>
            <w:vMerge w:val="restart"/>
          </w:tcPr>
          <w:p>
            <w:pPr>
              <w:jc w:val="center"/>
              <w:ind w:right="23"/>
              <w:spacing w:after="0" w:line="96"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44"/>
        </w:trPr>
        <w:tc>
          <w:tcPr>
            <w:tcW w:w="26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90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rPr>
              <w:t>Preferred</w:t>
            </w:r>
          </w:p>
        </w:tc>
        <w:tc>
          <w:tcPr>
            <w:tcW w:w="60" w:type="dxa"/>
            <w:vAlign w:val="bottom"/>
            <w:vMerge w:val="restart"/>
          </w:tcPr>
          <w:p>
            <w:pPr>
              <w:spacing w:after="0"/>
              <w:rPr>
                <w:sz w:val="3"/>
                <w:szCs w:val="3"/>
                <w:color w:val="auto"/>
              </w:rPr>
            </w:pPr>
          </w:p>
        </w:tc>
        <w:tc>
          <w:tcPr>
            <w:tcW w:w="920" w:type="dxa"/>
            <w:vAlign w:val="bottom"/>
            <w:vMerge w:val="restart"/>
          </w:tcPr>
          <w:p>
            <w:pPr>
              <w:jc w:val="right"/>
              <w:ind w:right="163"/>
              <w:spacing w:after="0"/>
              <w:rPr>
                <w:sz w:val="20"/>
                <w:szCs w:val="20"/>
                <w:color w:val="auto"/>
              </w:rPr>
            </w:pPr>
            <w:r>
              <w:rPr>
                <w:rFonts w:ascii="Arial" w:cs="Arial" w:eastAsia="Arial" w:hAnsi="Arial"/>
                <w:sz w:val="11"/>
                <w:szCs w:val="11"/>
                <w:b w:val="1"/>
                <w:bCs w:val="1"/>
                <w:color w:val="auto"/>
              </w:rPr>
              <w:t>Common</w:t>
            </w:r>
          </w:p>
        </w:tc>
        <w:tc>
          <w:tcPr>
            <w:tcW w:w="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Preferred</w:t>
            </w:r>
          </w:p>
        </w:tc>
        <w:tc>
          <w:tcPr>
            <w:tcW w:w="6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rPr>
              <w:t>Common</w:t>
            </w:r>
          </w:p>
        </w:tc>
        <w:tc>
          <w:tcPr>
            <w:tcW w:w="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restart"/>
          </w:tcPr>
          <w:p>
            <w:pPr>
              <w:jc w:val="right"/>
              <w:ind w:right="263"/>
              <w:spacing w:after="0"/>
              <w:rPr>
                <w:sz w:val="20"/>
                <w:szCs w:val="20"/>
                <w:color w:val="auto"/>
              </w:rPr>
            </w:pPr>
            <w:r>
              <w:rPr>
                <w:rFonts w:ascii="Arial" w:cs="Arial" w:eastAsia="Arial" w:hAnsi="Arial"/>
                <w:sz w:val="11"/>
                <w:szCs w:val="11"/>
                <w:b w:val="1"/>
                <w:bCs w:val="1"/>
                <w:color w:val="auto"/>
              </w:rPr>
              <w:t>AOCI</w:t>
            </w:r>
          </w:p>
        </w:tc>
        <w:tc>
          <w:tcPr>
            <w:tcW w:w="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600" w:type="dxa"/>
            <w:vAlign w:val="bottom"/>
            <w:tcBorders>
              <w:bottom w:val="single" w:sz="8" w:color="E0E7ED"/>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E0E7ED"/>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Earnings</w:t>
            </w:r>
          </w:p>
        </w:tc>
        <w:tc>
          <w:tcPr>
            <w:tcW w:w="6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Borders>
              <w:bottom w:val="single" w:sz="8" w:color="E0E7ED"/>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39"/>
        </w:trPr>
        <w:tc>
          <w:tcPr>
            <w:tcW w:w="2600" w:type="dxa"/>
            <w:vAlign w:val="bottom"/>
            <w:shd w:val="clear" w:color="auto" w:fill="E0E7ED"/>
          </w:tcPr>
          <w:p>
            <w:pPr>
              <w:ind w:left="20"/>
              <w:spacing w:after="0"/>
              <w:rPr>
                <w:sz w:val="20"/>
                <w:szCs w:val="20"/>
                <w:color w:val="auto"/>
              </w:rPr>
            </w:pPr>
            <w:r>
              <w:rPr>
                <w:rFonts w:ascii="Arial" w:cs="Arial" w:eastAsia="Arial" w:hAnsi="Arial"/>
                <w:sz w:val="11"/>
                <w:szCs w:val="11"/>
                <w:b w:val="1"/>
                <w:bCs w:val="1"/>
                <w:color w:val="auto"/>
              </w:rPr>
              <w:t>Balance, December 31, 2023</w:t>
            </w:r>
          </w:p>
        </w:tc>
        <w:tc>
          <w:tcPr>
            <w:tcW w:w="96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55,244,119</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E0E7ED"/>
          </w:tcPr>
          <w:p>
            <w:pPr>
              <w:ind w:left="600"/>
              <w:spacing w:after="0"/>
              <w:rPr>
                <w:sz w:val="20"/>
                <w:szCs w:val="20"/>
                <w:color w:val="auto"/>
              </w:rPr>
            </w:pPr>
            <w:r>
              <w:rPr>
                <w:rFonts w:ascii="Arial" w:cs="Arial" w:eastAsia="Arial" w:hAnsi="Arial"/>
                <w:sz w:val="11"/>
                <w:szCs w:val="11"/>
                <w:color w:val="auto"/>
              </w:rPr>
              <w:t>—</w:t>
            </w:r>
          </w:p>
        </w:tc>
        <w:tc>
          <w:tcPr>
            <w:tcW w:w="160" w:type="dxa"/>
            <w:vAlign w:val="bottom"/>
            <w:shd w:val="clear" w:color="auto" w:fill="E0E7ED"/>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58</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1,323,595</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237,197</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(218,803)</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(70,066)</w:t>
            </w:r>
          </w:p>
        </w:tc>
        <w:tc>
          <w:tcPr>
            <w:tcW w:w="80" w:type="dxa"/>
            <w:vAlign w:val="bottom"/>
            <w:shd w:val="clear" w:color="auto" w:fill="E0E7ED"/>
          </w:tcPr>
          <w:p>
            <w:pPr>
              <w:spacing w:after="0"/>
              <w:rPr>
                <w:sz w:val="12"/>
                <w:szCs w:val="12"/>
                <w:color w:val="auto"/>
              </w:rPr>
            </w:pPr>
          </w:p>
        </w:tc>
        <w:tc>
          <w:tcPr>
            <w:tcW w:w="80" w:type="dxa"/>
            <w:vAlign w:val="bottom"/>
            <w:shd w:val="clear" w:color="auto" w:fill="E0E7ED"/>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1,271,981</w:t>
            </w:r>
          </w:p>
        </w:tc>
        <w:tc>
          <w:tcPr>
            <w:tcW w:w="0" w:type="dxa"/>
            <w:vAlign w:val="bottom"/>
          </w:tcPr>
          <w:p>
            <w:pPr>
              <w:spacing w:after="0"/>
              <w:rPr>
                <w:sz w:val="1"/>
                <w:szCs w:val="1"/>
                <w:color w:val="auto"/>
              </w:rPr>
            </w:pPr>
          </w:p>
        </w:tc>
      </w:tr>
      <w:tr>
        <w:trPr>
          <w:trHeight w:val="117"/>
        </w:trPr>
        <w:tc>
          <w:tcPr>
            <w:tcW w:w="2600" w:type="dxa"/>
            <w:vAlign w:val="bottom"/>
          </w:tcPr>
          <w:p>
            <w:pPr>
              <w:ind w:left="140"/>
              <w:spacing w:after="0" w:line="117" w:lineRule="exact"/>
              <w:rPr>
                <w:sz w:val="20"/>
                <w:szCs w:val="20"/>
                <w:color w:val="auto"/>
              </w:rPr>
            </w:pPr>
            <w:r>
              <w:rPr>
                <w:rFonts w:ascii="Arial" w:cs="Arial" w:eastAsia="Arial" w:hAnsi="Arial"/>
                <w:sz w:val="11"/>
                <w:szCs w:val="11"/>
                <w:color w:val="auto"/>
              </w:rPr>
              <w:t>Cumulative effect of change in accounting</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2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(1,391)</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(1,391)</w:t>
            </w:r>
          </w:p>
        </w:tc>
        <w:tc>
          <w:tcPr>
            <w:tcW w:w="0" w:type="dxa"/>
            <w:vAlign w:val="bottom"/>
          </w:tcPr>
          <w:p>
            <w:pPr>
              <w:spacing w:after="0"/>
              <w:rPr>
                <w:sz w:val="1"/>
                <w:szCs w:val="1"/>
                <w:color w:val="auto"/>
              </w:rPr>
            </w:pPr>
          </w:p>
        </w:tc>
      </w:tr>
      <w:tr>
        <w:trPr>
          <w:trHeight w:val="138"/>
        </w:trPr>
        <w:tc>
          <w:tcPr>
            <w:tcW w:w="2600" w:type="dxa"/>
            <w:vAlign w:val="bottom"/>
          </w:tcPr>
          <w:p>
            <w:pPr>
              <w:ind w:left="140"/>
              <w:spacing w:after="0"/>
              <w:rPr>
                <w:sz w:val="20"/>
                <w:szCs w:val="20"/>
                <w:color w:val="auto"/>
              </w:rPr>
            </w:pPr>
            <w:r>
              <w:rPr>
                <w:rFonts w:ascii="Arial" w:cs="Arial" w:eastAsia="Arial" w:hAnsi="Arial"/>
                <w:sz w:val="11"/>
                <w:szCs w:val="11"/>
                <w:color w:val="auto"/>
              </w:rPr>
              <w:t>principal (ASU 2023-02)</w:t>
            </w:r>
          </w:p>
        </w:tc>
        <w:tc>
          <w:tcPr>
            <w:tcW w:w="9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E0E7ED"/>
          </w:tcPr>
          <w:p>
            <w:pPr>
              <w:ind w:left="140"/>
              <w:spacing w:after="0"/>
              <w:rPr>
                <w:sz w:val="20"/>
                <w:szCs w:val="20"/>
                <w:color w:val="auto"/>
              </w:rPr>
            </w:pPr>
            <w:r>
              <w:rPr>
                <w:rFonts w:ascii="Arial" w:cs="Arial" w:eastAsia="Arial" w:hAnsi="Arial"/>
                <w:sz w:val="11"/>
                <w:szCs w:val="11"/>
                <w:color w:val="auto"/>
              </w:rPr>
              <w:t>Net income</w:t>
            </w:r>
          </w:p>
        </w:tc>
        <w:tc>
          <w:tcPr>
            <w:tcW w:w="96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820" w:type="dxa"/>
            <w:vAlign w:val="bottom"/>
            <w:gridSpan w:val="2"/>
            <w:shd w:val="clear" w:color="auto" w:fill="E0E7ED"/>
          </w:tcPr>
          <w:p>
            <w:pPr>
              <w:ind w:left="600"/>
              <w:spacing w:after="0"/>
              <w:rPr>
                <w:sz w:val="20"/>
                <w:szCs w:val="20"/>
                <w:color w:val="auto"/>
              </w:rPr>
            </w:pPr>
            <w:r>
              <w:rPr>
                <w:rFonts w:ascii="Arial" w:cs="Arial" w:eastAsia="Arial" w:hAnsi="Arial"/>
                <w:sz w:val="11"/>
                <w:szCs w:val="11"/>
                <w:color w:val="auto"/>
              </w:rPr>
              <w:t>—</w:t>
            </w:r>
          </w:p>
        </w:tc>
        <w:tc>
          <w:tcPr>
            <w:tcW w:w="160" w:type="dxa"/>
            <w:vAlign w:val="bottom"/>
            <w:shd w:val="clear" w:color="auto" w:fill="E0E7ED"/>
          </w:tcPr>
          <w:p>
            <w:pPr>
              <w:spacing w:after="0"/>
              <w:rPr>
                <w:sz w:val="12"/>
                <w:szCs w:val="12"/>
                <w:color w:val="auto"/>
              </w:rPr>
            </w:pPr>
          </w:p>
        </w:tc>
        <w:tc>
          <w:tcPr>
            <w:tcW w:w="800" w:type="dxa"/>
            <w:vAlign w:val="bottom"/>
            <w:gridSpan w:val="2"/>
            <w:shd w:val="clear" w:color="auto" w:fill="E0E7ED"/>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26,225</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E0E7ED"/>
          </w:tcPr>
          <w:p>
            <w:pPr>
              <w:spacing w:after="0"/>
              <w:rPr>
                <w:sz w:val="12"/>
                <w:szCs w:val="12"/>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26,225</w:t>
            </w:r>
          </w:p>
        </w:tc>
        <w:tc>
          <w:tcPr>
            <w:tcW w:w="0" w:type="dxa"/>
            <w:vAlign w:val="bottom"/>
          </w:tcPr>
          <w:p>
            <w:pPr>
              <w:spacing w:after="0"/>
              <w:rPr>
                <w:sz w:val="1"/>
                <w:szCs w:val="1"/>
                <w:color w:val="auto"/>
              </w:rPr>
            </w:pPr>
          </w:p>
        </w:tc>
      </w:tr>
      <w:tr>
        <w:trPr>
          <w:trHeight w:val="149"/>
        </w:trPr>
        <w:tc>
          <w:tcPr>
            <w:tcW w:w="2600" w:type="dxa"/>
            <w:vAlign w:val="bottom"/>
          </w:tcPr>
          <w:p>
            <w:pPr>
              <w:ind w:left="140"/>
              <w:spacing w:after="0"/>
              <w:rPr>
                <w:sz w:val="20"/>
                <w:szCs w:val="20"/>
                <w:color w:val="auto"/>
              </w:rPr>
            </w:pPr>
            <w:r>
              <w:rPr>
                <w:rFonts w:ascii="Arial" w:cs="Arial" w:eastAsia="Arial" w:hAnsi="Arial"/>
                <w:sz w:val="11"/>
                <w:szCs w:val="11"/>
                <w:color w:val="auto"/>
              </w:rPr>
              <w:t>OCI, net of tax</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(3,387)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(3,387)</w:t>
            </w:r>
          </w:p>
        </w:tc>
        <w:tc>
          <w:tcPr>
            <w:tcW w:w="0" w:type="dxa"/>
            <w:vAlign w:val="bottom"/>
          </w:tcPr>
          <w:p>
            <w:pPr>
              <w:spacing w:after="0"/>
              <w:rPr>
                <w:sz w:val="1"/>
                <w:szCs w:val="1"/>
                <w:color w:val="auto"/>
              </w:rPr>
            </w:pPr>
          </w:p>
        </w:tc>
      </w:tr>
      <w:tr>
        <w:trPr>
          <w:trHeight w:val="149"/>
        </w:trPr>
        <w:tc>
          <w:tcPr>
            <w:tcW w:w="2600" w:type="dxa"/>
            <w:vAlign w:val="bottom"/>
            <w:shd w:val="clear" w:color="auto" w:fill="E0E7ED"/>
          </w:tcPr>
          <w:p>
            <w:pPr>
              <w:ind w:left="140"/>
              <w:spacing w:after="0"/>
              <w:rPr>
                <w:sz w:val="20"/>
                <w:szCs w:val="20"/>
                <w:color w:val="auto"/>
              </w:rPr>
            </w:pPr>
            <w:r>
              <w:rPr>
                <w:rFonts w:ascii="Arial" w:cs="Arial" w:eastAsia="Arial" w:hAnsi="Arial"/>
                <w:sz w:val="11"/>
                <w:szCs w:val="11"/>
                <w:color w:val="auto"/>
              </w:rPr>
              <w:t>Issuance of treasury stock for ESPP</w:t>
            </w:r>
          </w:p>
        </w:tc>
        <w:tc>
          <w:tcPr>
            <w:tcW w:w="96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23,305</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20" w:type="dxa"/>
            <w:vAlign w:val="bottom"/>
            <w:gridSpan w:val="2"/>
            <w:shd w:val="clear" w:color="auto" w:fill="E0E7ED"/>
          </w:tcPr>
          <w:p>
            <w:pPr>
              <w:ind w:left="600"/>
              <w:spacing w:after="0"/>
              <w:rPr>
                <w:sz w:val="20"/>
                <w:szCs w:val="20"/>
                <w:color w:val="auto"/>
              </w:rPr>
            </w:pPr>
            <w:r>
              <w:rPr>
                <w:rFonts w:ascii="Arial" w:cs="Arial" w:eastAsia="Arial" w:hAnsi="Arial"/>
                <w:sz w:val="11"/>
                <w:szCs w:val="11"/>
                <w:color w:val="auto"/>
              </w:rPr>
              <w:t>—</w:t>
            </w:r>
          </w:p>
        </w:tc>
        <w:tc>
          <w:tcPr>
            <w:tcW w:w="160" w:type="dxa"/>
            <w:vAlign w:val="bottom"/>
            <w:shd w:val="clear" w:color="auto" w:fill="E0E7ED"/>
          </w:tcPr>
          <w:p>
            <w:pPr>
              <w:spacing w:after="0"/>
              <w:rPr>
                <w:sz w:val="12"/>
                <w:szCs w:val="12"/>
                <w:color w:val="auto"/>
              </w:rPr>
            </w:pPr>
          </w:p>
        </w:tc>
        <w:tc>
          <w:tcPr>
            <w:tcW w:w="800" w:type="dxa"/>
            <w:vAlign w:val="bottom"/>
            <w:gridSpan w:val="2"/>
            <w:shd w:val="clear" w:color="auto" w:fill="E0E7ED"/>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(124)</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7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599</w:t>
            </w:r>
          </w:p>
        </w:tc>
        <w:tc>
          <w:tcPr>
            <w:tcW w:w="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475</w:t>
            </w:r>
          </w:p>
        </w:tc>
        <w:tc>
          <w:tcPr>
            <w:tcW w:w="0" w:type="dxa"/>
            <w:vAlign w:val="bottom"/>
          </w:tcPr>
          <w:p>
            <w:pPr>
              <w:spacing w:after="0"/>
              <w:rPr>
                <w:sz w:val="1"/>
                <w:szCs w:val="1"/>
                <w:color w:val="auto"/>
              </w:rPr>
            </w:pPr>
          </w:p>
        </w:tc>
      </w:tr>
      <w:tr>
        <w:trPr>
          <w:trHeight w:val="117"/>
        </w:trPr>
        <w:tc>
          <w:tcPr>
            <w:tcW w:w="2600" w:type="dxa"/>
            <w:vAlign w:val="bottom"/>
          </w:tcPr>
          <w:p>
            <w:pPr>
              <w:ind w:left="140"/>
              <w:spacing w:after="0" w:line="117" w:lineRule="exact"/>
              <w:rPr>
                <w:sz w:val="20"/>
                <w:szCs w:val="20"/>
                <w:color w:val="auto"/>
              </w:rPr>
            </w:pPr>
            <w:r>
              <w:rPr>
                <w:rFonts w:ascii="Arial" w:cs="Arial" w:eastAsia="Arial" w:hAnsi="Arial"/>
                <w:sz w:val="11"/>
                <w:szCs w:val="11"/>
                <w:color w:val="auto"/>
              </w:rPr>
              <w:t>Net issuance of treasury stock for RSU/DSU</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3"/>
              <w:spacing w:after="0"/>
              <w:rPr>
                <w:sz w:val="20"/>
                <w:szCs w:val="20"/>
                <w:color w:val="auto"/>
              </w:rPr>
            </w:pPr>
            <w:r>
              <w:rPr>
                <w:rFonts w:ascii="Arial" w:cs="Arial" w:eastAsia="Arial" w:hAnsi="Arial"/>
                <w:sz w:val="11"/>
                <w:szCs w:val="11"/>
                <w:color w:val="auto"/>
              </w:rPr>
              <w:t>32,584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(1,235)</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839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(396)</w:t>
            </w:r>
          </w:p>
        </w:tc>
        <w:tc>
          <w:tcPr>
            <w:tcW w:w="0" w:type="dxa"/>
            <w:vAlign w:val="bottom"/>
          </w:tcPr>
          <w:p>
            <w:pPr>
              <w:spacing w:after="0"/>
              <w:rPr>
                <w:sz w:val="1"/>
                <w:szCs w:val="1"/>
                <w:color w:val="auto"/>
              </w:rPr>
            </w:pPr>
          </w:p>
        </w:tc>
      </w:tr>
      <w:tr>
        <w:trPr>
          <w:trHeight w:val="138"/>
        </w:trPr>
        <w:tc>
          <w:tcPr>
            <w:tcW w:w="2600" w:type="dxa"/>
            <w:vAlign w:val="bottom"/>
          </w:tcPr>
          <w:p>
            <w:pPr>
              <w:ind w:left="140"/>
              <w:spacing w:after="0"/>
              <w:rPr>
                <w:sz w:val="20"/>
                <w:szCs w:val="20"/>
                <w:color w:val="auto"/>
              </w:rPr>
            </w:pPr>
            <w:r>
              <w:rPr>
                <w:rFonts w:ascii="Arial" w:cs="Arial" w:eastAsia="Arial" w:hAnsi="Arial"/>
                <w:sz w:val="11"/>
                <w:szCs w:val="11"/>
                <w:color w:val="auto"/>
              </w:rPr>
              <w:t>vesting and related tax</w:t>
            </w:r>
          </w:p>
        </w:tc>
        <w:tc>
          <w:tcPr>
            <w:tcW w:w="9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00" w:type="dxa"/>
            <w:vAlign w:val="bottom"/>
            <w:shd w:val="clear" w:color="auto" w:fill="E0E7ED"/>
          </w:tcPr>
          <w:p>
            <w:pPr>
              <w:ind w:left="140"/>
              <w:spacing w:after="0" w:line="117" w:lineRule="exact"/>
              <w:rPr>
                <w:sz w:val="20"/>
                <w:szCs w:val="20"/>
                <w:color w:val="auto"/>
              </w:rPr>
            </w:pPr>
            <w:r>
              <w:rPr>
                <w:rFonts w:ascii="Arial" w:cs="Arial" w:eastAsia="Arial" w:hAnsi="Arial"/>
                <w:sz w:val="11"/>
                <w:szCs w:val="11"/>
                <w:color w:val="auto"/>
              </w:rPr>
              <w:t>Cash dividends on common stock at $0.24 per</w:t>
            </w:r>
          </w:p>
        </w:tc>
        <w:tc>
          <w:tcPr>
            <w:tcW w:w="96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0"/>
                <w:szCs w:val="10"/>
                <w:color w:val="auto"/>
              </w:rPr>
            </w:pPr>
          </w:p>
        </w:tc>
        <w:tc>
          <w:tcPr>
            <w:tcW w:w="820" w:type="dxa"/>
            <w:vAlign w:val="bottom"/>
            <w:gridSpan w:val="2"/>
            <w:vMerge w:val="restart"/>
            <w:shd w:val="clear" w:color="auto" w:fill="E0E7ED"/>
          </w:tcPr>
          <w:p>
            <w:pPr>
              <w:ind w:left="600"/>
              <w:spacing w:after="0"/>
              <w:rPr>
                <w:sz w:val="20"/>
                <w:szCs w:val="20"/>
                <w:color w:val="auto"/>
              </w:rPr>
            </w:pPr>
            <w:r>
              <w:rPr>
                <w:rFonts w:ascii="Arial" w:cs="Arial" w:eastAsia="Arial" w:hAnsi="Arial"/>
                <w:sz w:val="11"/>
                <w:szCs w:val="11"/>
                <w:color w:val="auto"/>
              </w:rPr>
              <w:t>—</w:t>
            </w:r>
          </w:p>
        </w:tc>
        <w:tc>
          <w:tcPr>
            <w:tcW w:w="160" w:type="dxa"/>
            <w:vAlign w:val="bottom"/>
            <w:shd w:val="clear" w:color="auto" w:fill="E0E7ED"/>
          </w:tcPr>
          <w:p>
            <w:pPr>
              <w:spacing w:after="0"/>
              <w:rPr>
                <w:sz w:val="10"/>
                <w:szCs w:val="10"/>
                <w:color w:val="auto"/>
              </w:rPr>
            </w:pPr>
          </w:p>
        </w:tc>
        <w:tc>
          <w:tcPr>
            <w:tcW w:w="800" w:type="dxa"/>
            <w:vAlign w:val="bottom"/>
            <w:gridSpan w:val="2"/>
            <w:vMerge w:val="restart"/>
            <w:shd w:val="clear" w:color="auto" w:fill="E0E7ED"/>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0"/>
                <w:szCs w:val="10"/>
                <w:color w:val="auto"/>
              </w:rPr>
            </w:pPr>
          </w:p>
        </w:tc>
        <w:tc>
          <w:tcPr>
            <w:tcW w:w="84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0"/>
                <w:szCs w:val="10"/>
                <w:color w:val="auto"/>
              </w:rPr>
            </w:pPr>
          </w:p>
        </w:tc>
        <w:tc>
          <w:tcPr>
            <w:tcW w:w="780" w:type="dxa"/>
            <w:vAlign w:val="bottom"/>
            <w:vMerge w:val="restart"/>
            <w:shd w:val="clear" w:color="auto" w:fill="E0E7ED"/>
          </w:tcPr>
          <w:p>
            <w:pPr>
              <w:jc w:val="right"/>
              <w:spacing w:after="0"/>
              <w:rPr>
                <w:sz w:val="20"/>
                <w:szCs w:val="20"/>
                <w:color w:val="auto"/>
              </w:rPr>
            </w:pPr>
            <w:r>
              <w:rPr>
                <w:rFonts w:ascii="Arial" w:cs="Arial" w:eastAsia="Arial" w:hAnsi="Arial"/>
                <w:sz w:val="11"/>
                <w:szCs w:val="11"/>
                <w:color w:val="auto"/>
              </w:rPr>
              <w:t>(13,259)</w:t>
            </w:r>
          </w:p>
        </w:tc>
        <w:tc>
          <w:tcPr>
            <w:tcW w:w="60" w:type="dxa"/>
            <w:vAlign w:val="bottom"/>
            <w:shd w:val="clear" w:color="auto" w:fill="E0E7ED"/>
          </w:tcPr>
          <w:p>
            <w:pPr>
              <w:spacing w:after="0"/>
              <w:rPr>
                <w:sz w:val="10"/>
                <w:szCs w:val="10"/>
                <w:color w:val="auto"/>
              </w:rPr>
            </w:pPr>
          </w:p>
        </w:tc>
        <w:tc>
          <w:tcPr>
            <w:tcW w:w="200" w:type="dxa"/>
            <w:vAlign w:val="bottom"/>
            <w:shd w:val="clear" w:color="auto" w:fill="E0E7ED"/>
          </w:tcPr>
          <w:p>
            <w:pPr>
              <w:spacing w:after="0"/>
              <w:rPr>
                <w:sz w:val="10"/>
                <w:szCs w:val="10"/>
                <w:color w:val="auto"/>
              </w:rPr>
            </w:pPr>
          </w:p>
        </w:tc>
        <w:tc>
          <w:tcPr>
            <w:tcW w:w="78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0"/>
                <w:szCs w:val="10"/>
                <w:color w:val="auto"/>
              </w:rPr>
            </w:pPr>
          </w:p>
        </w:tc>
        <w:tc>
          <w:tcPr>
            <w:tcW w:w="840" w:type="dxa"/>
            <w:vAlign w:val="bottom"/>
            <w:gridSpan w:val="2"/>
            <w:vMerge w:val="restart"/>
            <w:shd w:val="clear" w:color="auto" w:fill="E0E7ED"/>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E0E7ED"/>
          </w:tcPr>
          <w:p>
            <w:pPr>
              <w:spacing w:after="0"/>
              <w:rPr>
                <w:sz w:val="10"/>
                <w:szCs w:val="10"/>
                <w:color w:val="auto"/>
              </w:rPr>
            </w:pPr>
          </w:p>
        </w:tc>
        <w:tc>
          <w:tcPr>
            <w:tcW w:w="820" w:type="dxa"/>
            <w:vAlign w:val="bottom"/>
            <w:vMerge w:val="restart"/>
            <w:shd w:val="clear" w:color="auto" w:fill="E0E7ED"/>
          </w:tcPr>
          <w:p>
            <w:pPr>
              <w:jc w:val="right"/>
              <w:spacing w:after="0"/>
              <w:rPr>
                <w:sz w:val="20"/>
                <w:szCs w:val="20"/>
                <w:color w:val="auto"/>
              </w:rPr>
            </w:pPr>
            <w:r>
              <w:rPr>
                <w:rFonts w:ascii="Arial" w:cs="Arial" w:eastAsia="Arial" w:hAnsi="Arial"/>
                <w:sz w:val="11"/>
                <w:szCs w:val="11"/>
                <w:color w:val="auto"/>
              </w:rPr>
              <w:t>(13,259)</w:t>
            </w:r>
          </w:p>
        </w:tc>
        <w:tc>
          <w:tcPr>
            <w:tcW w:w="0" w:type="dxa"/>
            <w:vAlign w:val="bottom"/>
          </w:tcPr>
          <w:p>
            <w:pPr>
              <w:spacing w:after="0"/>
              <w:rPr>
                <w:sz w:val="1"/>
                <w:szCs w:val="1"/>
                <w:color w:val="auto"/>
              </w:rPr>
            </w:pPr>
          </w:p>
        </w:tc>
      </w:tr>
      <w:tr>
        <w:trPr>
          <w:trHeight w:val="138"/>
        </w:trPr>
        <w:tc>
          <w:tcPr>
            <w:tcW w:w="2600" w:type="dxa"/>
            <w:vAlign w:val="bottom"/>
            <w:shd w:val="clear" w:color="auto" w:fill="E0E7ED"/>
          </w:tcPr>
          <w:p>
            <w:pPr>
              <w:ind w:left="140"/>
              <w:spacing w:after="0"/>
              <w:rPr>
                <w:sz w:val="20"/>
                <w:szCs w:val="20"/>
                <w:color w:val="auto"/>
              </w:rPr>
            </w:pPr>
            <w:r>
              <w:rPr>
                <w:rFonts w:ascii="Arial" w:cs="Arial" w:eastAsia="Arial" w:hAnsi="Arial"/>
                <w:sz w:val="11"/>
                <w:szCs w:val="11"/>
                <w:color w:val="auto"/>
              </w:rPr>
              <w:t>share</w:t>
            </w:r>
          </w:p>
        </w:tc>
        <w:tc>
          <w:tcPr>
            <w:tcW w:w="960" w:type="dxa"/>
            <w:vAlign w:val="bottom"/>
            <w:gridSpan w:val="2"/>
            <w:vMerge w:val="continue"/>
            <w:shd w:val="clear" w:color="auto" w:fill="E0E7ED"/>
          </w:tcPr>
          <w:p>
            <w:pPr>
              <w:spacing w:after="0"/>
              <w:rPr>
                <w:sz w:val="11"/>
                <w:szCs w:val="11"/>
                <w:color w:val="auto"/>
              </w:rPr>
            </w:pPr>
          </w:p>
        </w:tc>
        <w:tc>
          <w:tcPr>
            <w:tcW w:w="980" w:type="dxa"/>
            <w:vAlign w:val="bottom"/>
            <w:gridSpan w:val="2"/>
            <w:vMerge w:val="continue"/>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820" w:type="dxa"/>
            <w:vAlign w:val="bottom"/>
            <w:gridSpan w:val="2"/>
            <w:vMerge w:val="continue"/>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800" w:type="dxa"/>
            <w:vAlign w:val="bottom"/>
            <w:gridSpan w:val="2"/>
            <w:vMerge w:val="continue"/>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840" w:type="dxa"/>
            <w:vAlign w:val="bottom"/>
            <w:gridSpan w:val="2"/>
            <w:vMerge w:val="continue"/>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780" w:type="dxa"/>
            <w:vAlign w:val="bottom"/>
            <w:vMerge w:val="continue"/>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80" w:type="dxa"/>
            <w:vAlign w:val="bottom"/>
            <w:gridSpan w:val="2"/>
            <w:vMerge w:val="continue"/>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840" w:type="dxa"/>
            <w:vAlign w:val="bottom"/>
            <w:gridSpan w:val="2"/>
            <w:vMerge w:val="continue"/>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820" w:type="dxa"/>
            <w:vAlign w:val="bottom"/>
            <w:vMerge w:val="continue"/>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00" w:type="dxa"/>
            <w:vAlign w:val="bottom"/>
          </w:tcPr>
          <w:p>
            <w:pPr>
              <w:ind w:left="140"/>
              <w:spacing w:after="0" w:line="117" w:lineRule="exact"/>
              <w:rPr>
                <w:sz w:val="20"/>
                <w:szCs w:val="20"/>
                <w:color w:val="auto"/>
              </w:rPr>
            </w:pPr>
            <w:r>
              <w:rPr>
                <w:rFonts w:ascii="Arial" w:cs="Arial" w:eastAsia="Arial" w:hAnsi="Arial"/>
                <w:sz w:val="11"/>
                <w:szCs w:val="11"/>
                <w:color w:val="auto"/>
              </w:rPr>
              <w:t>Stock dividend equivalents on</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2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1"/>
                <w:szCs w:val="11"/>
                <w:color w:val="auto"/>
              </w:rPr>
              <w:t>360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(360)</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600" w:type="dxa"/>
            <w:vAlign w:val="bottom"/>
          </w:tcPr>
          <w:p>
            <w:pPr>
              <w:ind w:left="140"/>
              <w:spacing w:after="0"/>
              <w:rPr>
                <w:sz w:val="20"/>
                <w:szCs w:val="20"/>
                <w:color w:val="auto"/>
              </w:rPr>
            </w:pPr>
            <w:r>
              <w:rPr>
                <w:rFonts w:ascii="Arial" w:cs="Arial" w:eastAsia="Arial" w:hAnsi="Arial"/>
                <w:sz w:val="11"/>
                <w:szCs w:val="11"/>
                <w:color w:val="auto"/>
              </w:rPr>
              <w:t>RSUs/PSUs/DSUs</w:t>
            </w:r>
          </w:p>
        </w:tc>
        <w:tc>
          <w:tcPr>
            <w:tcW w:w="9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E0E7ED"/>
          </w:tcPr>
          <w:p>
            <w:pPr>
              <w:ind w:left="14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92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140" w:type="dxa"/>
            <w:vAlign w:val="bottom"/>
            <w:tcBorders>
              <w:bottom w:val="single" w:sz="8" w:color="auto"/>
            </w:tcBorders>
            <w:shd w:val="clear" w:color="auto" w:fill="E0E7ED"/>
          </w:tcPr>
          <w:p>
            <w:pPr>
              <w:spacing w:after="0"/>
              <w:rPr>
                <w:sz w:val="12"/>
                <w:szCs w:val="12"/>
                <w:color w:val="auto"/>
              </w:rPr>
            </w:pPr>
          </w:p>
        </w:tc>
        <w:tc>
          <w:tcPr>
            <w:tcW w:w="760" w:type="dxa"/>
            <w:vAlign w:val="bottom"/>
            <w:tcBorders>
              <w:bottom w:val="single" w:sz="8" w:color="auto"/>
            </w:tcBorders>
            <w:shd w:val="clear" w:color="auto" w:fill="E0E7ED"/>
          </w:tcPr>
          <w:p>
            <w:pPr>
              <w:ind w:left="600"/>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160" w:type="dxa"/>
            <w:vAlign w:val="bottom"/>
            <w:tcBorders>
              <w:bottom w:val="single" w:sz="8" w:color="auto"/>
            </w:tcBorders>
            <w:shd w:val="clear" w:color="auto" w:fill="E0E7ED"/>
          </w:tcPr>
          <w:p>
            <w:pPr>
              <w:spacing w:after="0"/>
              <w:rPr>
                <w:sz w:val="12"/>
                <w:szCs w:val="12"/>
                <w:color w:val="auto"/>
              </w:rPr>
            </w:pPr>
          </w:p>
        </w:tc>
        <w:tc>
          <w:tcPr>
            <w:tcW w:w="7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140" w:type="dxa"/>
            <w:vAlign w:val="bottom"/>
            <w:tcBorders>
              <w:bottom w:val="single" w:sz="8" w:color="auto"/>
            </w:tcBorders>
            <w:shd w:val="clear" w:color="auto" w:fill="E0E7ED"/>
          </w:tcPr>
          <w:p>
            <w:pPr>
              <w:spacing w:after="0"/>
              <w:rPr>
                <w:sz w:val="12"/>
                <w:szCs w:val="12"/>
                <w:color w:val="auto"/>
              </w:rPr>
            </w:pPr>
          </w:p>
        </w:tc>
        <w:tc>
          <w:tcPr>
            <w:tcW w:w="78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2,403</w:t>
            </w:r>
          </w:p>
        </w:tc>
        <w:tc>
          <w:tcPr>
            <w:tcW w:w="60" w:type="dxa"/>
            <w:vAlign w:val="bottom"/>
            <w:shd w:val="clear" w:color="auto" w:fill="E0E7ED"/>
          </w:tcPr>
          <w:p>
            <w:pPr>
              <w:spacing w:after="0"/>
              <w:rPr>
                <w:sz w:val="12"/>
                <w:szCs w:val="12"/>
                <w:color w:val="auto"/>
              </w:rPr>
            </w:pPr>
          </w:p>
        </w:tc>
        <w:tc>
          <w:tcPr>
            <w:tcW w:w="140" w:type="dxa"/>
            <w:vAlign w:val="bottom"/>
            <w:tcBorders>
              <w:bottom w:val="single" w:sz="8" w:color="auto"/>
            </w:tcBorders>
            <w:shd w:val="clear" w:color="auto" w:fill="E0E7ED"/>
          </w:tcPr>
          <w:p>
            <w:pPr>
              <w:spacing w:after="0"/>
              <w:rPr>
                <w:sz w:val="12"/>
                <w:szCs w:val="12"/>
                <w:color w:val="auto"/>
              </w:rPr>
            </w:pPr>
          </w:p>
        </w:tc>
        <w:tc>
          <w:tcPr>
            <w:tcW w:w="78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200" w:type="dxa"/>
            <w:vAlign w:val="bottom"/>
            <w:tcBorders>
              <w:bottom w:val="single" w:sz="8" w:color="auto"/>
            </w:tcBorders>
            <w:shd w:val="clear" w:color="auto" w:fill="E0E7ED"/>
          </w:tcPr>
          <w:p>
            <w:pPr>
              <w:spacing w:after="0"/>
              <w:rPr>
                <w:sz w:val="12"/>
                <w:szCs w:val="12"/>
                <w:color w:val="auto"/>
              </w:rPr>
            </w:pPr>
          </w:p>
        </w:tc>
        <w:tc>
          <w:tcPr>
            <w:tcW w:w="72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E0E7ED"/>
          </w:tcPr>
          <w:p>
            <w:pPr>
              <w:spacing w:after="0"/>
              <w:rPr>
                <w:sz w:val="12"/>
                <w:szCs w:val="12"/>
                <w:color w:val="auto"/>
              </w:rPr>
            </w:pPr>
          </w:p>
        </w:tc>
        <w:tc>
          <w:tcPr>
            <w:tcW w:w="140" w:type="dxa"/>
            <w:vAlign w:val="bottom"/>
            <w:tcBorders>
              <w:bottom w:val="single" w:sz="8" w:color="auto"/>
            </w:tcBorders>
            <w:shd w:val="clear" w:color="auto" w:fill="E0E7ED"/>
          </w:tcPr>
          <w:p>
            <w:pPr>
              <w:spacing w:after="0"/>
              <w:rPr>
                <w:sz w:val="12"/>
                <w:szCs w:val="12"/>
                <w:color w:val="auto"/>
              </w:rPr>
            </w:pPr>
          </w:p>
        </w:tc>
        <w:tc>
          <w:tcPr>
            <w:tcW w:w="7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E0E7ED"/>
          </w:tcPr>
          <w:p>
            <w:pPr>
              <w:spacing w:after="0"/>
              <w:rPr>
                <w:sz w:val="12"/>
                <w:szCs w:val="12"/>
                <w:color w:val="auto"/>
              </w:rPr>
            </w:pPr>
          </w:p>
        </w:tc>
        <w:tc>
          <w:tcPr>
            <w:tcW w:w="80" w:type="dxa"/>
            <w:vAlign w:val="bottom"/>
            <w:tcBorders>
              <w:bottom w:val="single" w:sz="8" w:color="auto"/>
            </w:tcBorders>
            <w:shd w:val="clear" w:color="auto" w:fill="E0E7ED"/>
          </w:tcPr>
          <w:p>
            <w:pPr>
              <w:spacing w:after="0"/>
              <w:rPr>
                <w:sz w:val="12"/>
                <w:szCs w:val="12"/>
                <w:color w:val="auto"/>
              </w:rPr>
            </w:pPr>
          </w:p>
        </w:tc>
        <w:tc>
          <w:tcPr>
            <w:tcW w:w="8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2,403</w:t>
            </w:r>
          </w:p>
        </w:tc>
        <w:tc>
          <w:tcPr>
            <w:tcW w:w="0" w:type="dxa"/>
            <w:vAlign w:val="bottom"/>
          </w:tcPr>
          <w:p>
            <w:pPr>
              <w:spacing w:after="0"/>
              <w:rPr>
                <w:sz w:val="1"/>
                <w:szCs w:val="1"/>
                <w:color w:val="auto"/>
              </w:rPr>
            </w:pPr>
          </w:p>
        </w:tc>
      </w:tr>
      <w:tr>
        <w:trPr>
          <w:trHeight w:val="139"/>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Balance, March 31, 2024</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55,300,008</w:t>
            </w:r>
          </w:p>
        </w:tc>
        <w:tc>
          <w:tcPr>
            <w:tcW w:w="60" w:type="dxa"/>
            <w:vAlign w:val="bottom"/>
          </w:tcPr>
          <w:p>
            <w:pPr>
              <w:spacing w:after="0"/>
              <w:rPr>
                <w:sz w:val="12"/>
                <w:szCs w:val="12"/>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58</w:t>
            </w:r>
          </w:p>
        </w:tc>
        <w:tc>
          <w:tcPr>
            <w:tcW w:w="60" w:type="dxa"/>
            <w:vAlign w:val="bottom"/>
          </w:tcPr>
          <w:p>
            <w:pPr>
              <w:spacing w:after="0"/>
              <w:rPr>
                <w:sz w:val="12"/>
                <w:szCs w:val="12"/>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1,324,999</w:t>
            </w:r>
          </w:p>
        </w:tc>
        <w:tc>
          <w:tcPr>
            <w:tcW w:w="60" w:type="dxa"/>
            <w:vAlign w:val="bottom"/>
          </w:tcPr>
          <w:p>
            <w:pPr>
              <w:spacing w:after="0"/>
              <w:rPr>
                <w:sz w:val="12"/>
                <w:szCs w:val="12"/>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248,412</w:t>
            </w:r>
          </w:p>
        </w:tc>
        <w:tc>
          <w:tcPr>
            <w:tcW w:w="60" w:type="dxa"/>
            <w:vAlign w:val="bottom"/>
          </w:tcPr>
          <w:p>
            <w:pPr>
              <w:spacing w:after="0"/>
              <w:rPr>
                <w:sz w:val="12"/>
                <w:szCs w:val="12"/>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(222,190)</w:t>
            </w:r>
          </w:p>
        </w:tc>
        <w:tc>
          <w:tcPr>
            <w:tcW w:w="60" w:type="dxa"/>
            <w:vAlign w:val="bottom"/>
          </w:tcPr>
          <w:p>
            <w:pPr>
              <w:spacing w:after="0"/>
              <w:rPr>
                <w:sz w:val="12"/>
                <w:szCs w:val="12"/>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(68,628)</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1,282,651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 to Consolidated Financial Statements (Unaudited)</w:t>
      </w:r>
      <w:r>
        <w:rPr>
          <w:rFonts w:ascii="Arial" w:cs="Arial" w:eastAsia="Arial" w:hAnsi="Arial"/>
          <w:sz w:val="14"/>
          <w:szCs w:val="14"/>
          <w:color w:val="auto"/>
        </w:rPr>
        <w:t>.</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gridSpan w:val="3"/>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2024</w:t>
            </w:r>
          </w:p>
        </w:tc>
      </w:tr>
      <w:tr>
        <w:trPr>
          <w:trHeight w:val="129"/>
        </w:trPr>
        <w:tc>
          <w:tcPr>
            <w:tcW w:w="8460" w:type="dxa"/>
            <w:vAlign w:val="bottom"/>
            <w:gridSpan w:val="3"/>
            <w:shd w:val="clear" w:color="auto" w:fill="E0E7ED"/>
          </w:tcPr>
          <w:p>
            <w:pPr>
              <w:ind w:left="20"/>
              <w:spacing w:after="0"/>
              <w:rPr>
                <w:sz w:val="20"/>
                <w:szCs w:val="20"/>
                <w:color w:val="auto"/>
              </w:rPr>
            </w:pPr>
            <w:r>
              <w:rPr>
                <w:rFonts w:ascii="Arial" w:cs="Arial" w:eastAsia="Arial" w:hAnsi="Arial"/>
                <w:sz w:val="11"/>
                <w:szCs w:val="11"/>
                <w:b w:val="1"/>
                <w:bCs w:val="1"/>
                <w:color w:val="auto"/>
              </w:rPr>
              <w:t>Cash flows provided by (used in) operating activities</w:t>
            </w:r>
          </w:p>
        </w:tc>
        <w:tc>
          <w:tcPr>
            <w:tcW w:w="320" w:type="dxa"/>
            <w:vAlign w:val="bottom"/>
            <w:shd w:val="clear" w:color="auto" w:fill="E0E7ED"/>
          </w:tcPr>
          <w:p>
            <w:pPr>
              <w:spacing w:after="0"/>
              <w:rPr>
                <w:sz w:val="11"/>
                <w:szCs w:val="11"/>
                <w:color w:val="auto"/>
              </w:rPr>
            </w:pPr>
          </w:p>
        </w:tc>
        <w:tc>
          <w:tcPr>
            <w:tcW w:w="10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040" w:type="dxa"/>
            <w:vAlign w:val="bottom"/>
            <w:shd w:val="clear" w:color="auto" w:fill="E0E7ED"/>
          </w:tcPr>
          <w:p>
            <w:pPr>
              <w:spacing w:after="0"/>
              <w:rPr>
                <w:sz w:val="11"/>
                <w:szCs w:val="11"/>
                <w:color w:val="auto"/>
              </w:rPr>
            </w:pPr>
          </w:p>
        </w:tc>
      </w:tr>
      <w:tr>
        <w:trPr>
          <w:trHeight w:val="149"/>
        </w:trPr>
        <w:tc>
          <w:tcPr>
            <w:tcW w:w="8460" w:type="dxa"/>
            <w:vAlign w:val="bottom"/>
            <w:gridSpan w:val="3"/>
          </w:tcPr>
          <w:p>
            <w:pPr>
              <w:ind w:left="140"/>
              <w:spacing w:after="0"/>
              <w:rPr>
                <w:sz w:val="20"/>
                <w:szCs w:val="20"/>
                <w:color w:val="auto"/>
              </w:rPr>
            </w:pPr>
            <w:r>
              <w:rPr>
                <w:rFonts w:ascii="Arial" w:cs="Arial" w:eastAsia="Arial" w:hAnsi="Arial"/>
                <w:sz w:val="11"/>
                <w:szCs w:val="11"/>
                <w:color w:val="auto"/>
              </w:rPr>
              <w:t>Net income (loss)</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(29,990)</w:t>
            </w:r>
          </w:p>
        </w:tc>
        <w:tc>
          <w:tcPr>
            <w:tcW w:w="100" w:type="dxa"/>
            <w:vAlign w:val="bottom"/>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26,225</w:t>
            </w:r>
          </w:p>
        </w:tc>
      </w:tr>
      <w:tr>
        <w:trPr>
          <w:trHeight w:val="149"/>
        </w:trPr>
        <w:tc>
          <w:tcPr>
            <w:tcW w:w="8460" w:type="dxa"/>
            <w:vAlign w:val="bottom"/>
            <w:gridSpan w:val="3"/>
            <w:shd w:val="clear" w:color="auto" w:fill="E0E7ED"/>
          </w:tcPr>
          <w:p>
            <w:pPr>
              <w:ind w:left="140"/>
              <w:spacing w:after="0"/>
              <w:rPr>
                <w:sz w:val="20"/>
                <w:szCs w:val="20"/>
                <w:color w:val="auto"/>
              </w:rPr>
            </w:pPr>
            <w:r>
              <w:rPr>
                <w:rFonts w:ascii="Arial" w:cs="Arial" w:eastAsia="Arial" w:hAnsi="Arial"/>
                <w:sz w:val="11"/>
                <w:szCs w:val="11"/>
                <w:color w:val="auto"/>
              </w:rPr>
              <w:t>Adjustments to reconcile net income (loss) to net cash provided by (used in) operating activities: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Provision for credit losses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42,452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5,038</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Amortization of intangible assets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3,083</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2,409</w:t>
            </w: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Amortization of mortgage servicing rights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468</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Depreciation and amortization of premises and equipment</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2,649</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2,378</w:t>
            </w: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Net amortization (accretion) on portfolio loans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(1,164)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1,629</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Net amortization (accretion) of premium (discount) on investment securities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1,437</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2,535</w:t>
            </w: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Net amortization (accretion) of premium (discount) on time deposits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(659)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(20)</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Net amortization (accretion) of premium (discount) on FHLB advances and other borrowings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433</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265</w:t>
            </w: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Impairment of fixed assets held for sale</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188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48</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Impairment of mortgage servicing rights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w:t>
            </w: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Unrealized (gains) losses recognized on equity securities, net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(427)</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(Gain) loss on sales of debt securities, net</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15,537</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6,802</w:t>
            </w: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(Gain) loss on sales of mortgage servicing rights</w:t>
            </w: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(7,465)</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(Gain) loss on sales of loans, net</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(197)</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(269)</w:t>
            </w: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(Gain) loss on sales of OREO and other repossessed assets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(540)</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(Gain) loss on sales of premises and equipment</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(10)</w:t>
            </w: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(Gain) loss on life insurance proceeds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(394)</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(Increase) decrease in cash surrender value of bank owned life insurance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(1,235)</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(1,025)</w:t>
            </w: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Provision for deferred income taxes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1,761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Stock-based compensation</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3,394</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2,403</w:t>
            </w: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Proceeds from the sale of mortgage servicing rights</w:t>
            </w: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9,796</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Mortgage loans originated for sale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(13,169)</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(19,296)</w:t>
            </w:r>
          </w:p>
        </w:tc>
      </w:tr>
      <w:tr>
        <w:trPr>
          <w:trHeight w:val="149"/>
        </w:trPr>
        <w:tc>
          <w:tcPr>
            <w:tcW w:w="8460" w:type="dxa"/>
            <w:vAlign w:val="bottom"/>
            <w:gridSpan w:val="3"/>
          </w:tcPr>
          <w:p>
            <w:pPr>
              <w:ind w:left="280"/>
              <w:spacing w:after="0"/>
              <w:rPr>
                <w:sz w:val="20"/>
                <w:szCs w:val="20"/>
                <w:color w:val="auto"/>
              </w:rPr>
            </w:pPr>
            <w:r>
              <w:rPr>
                <w:rFonts w:ascii="Arial" w:cs="Arial" w:eastAsia="Arial" w:hAnsi="Arial"/>
                <w:sz w:val="11"/>
                <w:szCs w:val="11"/>
                <w:color w:val="auto"/>
              </w:rPr>
              <w:t>Proceeds from sales of mortgage loans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9,802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15,241</w:t>
            </w:r>
          </w:p>
        </w:tc>
      </w:tr>
      <w:tr>
        <w:trPr>
          <w:trHeight w:val="149"/>
        </w:trPr>
        <w:tc>
          <w:tcPr>
            <w:tcW w:w="8460" w:type="dxa"/>
            <w:vAlign w:val="bottom"/>
            <w:gridSpan w:val="3"/>
            <w:shd w:val="clear" w:color="auto" w:fill="E0E7ED"/>
          </w:tcPr>
          <w:p>
            <w:pPr>
              <w:ind w:left="280"/>
              <w:spacing w:after="0"/>
              <w:rPr>
                <w:sz w:val="20"/>
                <w:szCs w:val="20"/>
                <w:color w:val="auto"/>
              </w:rPr>
            </w:pPr>
            <w:r>
              <w:rPr>
                <w:rFonts w:ascii="Arial" w:cs="Arial" w:eastAsia="Arial" w:hAnsi="Arial"/>
                <w:sz w:val="11"/>
                <w:szCs w:val="11"/>
                <w:color w:val="auto"/>
              </w:rPr>
              <w:t>(Increase) decrease in other assets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(7,139)</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1,613</w:t>
            </w:r>
          </w:p>
        </w:tc>
      </w:tr>
      <w:tr>
        <w:trPr>
          <w:trHeight w:val="149"/>
        </w:trPr>
        <w:tc>
          <w:tcPr>
            <w:tcW w:w="8460" w:type="dxa"/>
            <w:vAlign w:val="bottom"/>
            <w:tcBorders>
              <w:bottom w:val="single" w:sz="8" w:color="E0E7ED"/>
            </w:tcBorders>
            <w:gridSpan w:val="3"/>
          </w:tcPr>
          <w:p>
            <w:pPr>
              <w:ind w:left="280"/>
              <w:spacing w:after="0"/>
              <w:rPr>
                <w:sz w:val="20"/>
                <w:szCs w:val="20"/>
                <w:color w:val="auto"/>
              </w:rPr>
            </w:pPr>
            <w:r>
              <w:rPr>
                <w:rFonts w:ascii="Arial" w:cs="Arial" w:eastAsia="Arial" w:hAnsi="Arial"/>
                <w:sz w:val="11"/>
                <w:szCs w:val="11"/>
                <w:color w:val="auto"/>
              </w:rPr>
              <w:t>Increase (decrease) in other liabilities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(19,000)</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(10,055)</w:t>
            </w:r>
          </w:p>
        </w:tc>
      </w:tr>
      <w:tr>
        <w:trPr>
          <w:trHeight w:val="139"/>
        </w:trPr>
        <w:tc>
          <w:tcPr>
            <w:tcW w:w="8460" w:type="dxa"/>
            <w:vAlign w:val="bottom"/>
            <w:gridSpan w:val="3"/>
            <w:shd w:val="clear" w:color="auto" w:fill="E0E7ED"/>
          </w:tcPr>
          <w:p>
            <w:pPr>
              <w:ind w:left="20"/>
              <w:spacing w:after="0"/>
              <w:rPr>
                <w:sz w:val="20"/>
                <w:szCs w:val="20"/>
                <w:color w:val="auto"/>
              </w:rPr>
            </w:pPr>
            <w:r>
              <w:rPr>
                <w:rFonts w:ascii="Arial" w:cs="Arial" w:eastAsia="Arial" w:hAnsi="Arial"/>
                <w:sz w:val="11"/>
                <w:szCs w:val="11"/>
                <w:color w:val="auto"/>
              </w:rPr>
              <w:t>Net cash provided by (used in) operating activities</w:t>
            </w: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8,378</w:t>
            </w:r>
          </w:p>
        </w:tc>
        <w:tc>
          <w:tcPr>
            <w:tcW w:w="100" w:type="dxa"/>
            <w:vAlign w:val="bottom"/>
            <w:shd w:val="clear" w:color="auto" w:fill="E0E7ED"/>
          </w:tcPr>
          <w:p>
            <w:pPr>
              <w:spacing w:after="0"/>
              <w:rPr>
                <w:sz w:val="12"/>
                <w:szCs w:val="12"/>
                <w:color w:val="auto"/>
              </w:rPr>
            </w:pP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37,350</w:t>
            </w:r>
          </w:p>
        </w:tc>
      </w:tr>
      <w:tr>
        <w:trPr>
          <w:trHeight w:val="139"/>
        </w:trPr>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8460" w:type="dxa"/>
            <w:vAlign w:val="bottom"/>
            <w:gridSpan w:val="3"/>
            <w:shd w:val="clear" w:color="auto" w:fill="E0E7ED"/>
          </w:tcPr>
          <w:p>
            <w:pPr>
              <w:ind w:left="20"/>
              <w:spacing w:after="0"/>
              <w:rPr>
                <w:sz w:val="20"/>
                <w:szCs w:val="20"/>
                <w:color w:val="auto"/>
              </w:rPr>
            </w:pPr>
            <w:r>
              <w:rPr>
                <w:rFonts w:ascii="Arial" w:cs="Arial" w:eastAsia="Arial" w:hAnsi="Arial"/>
                <w:sz w:val="11"/>
                <w:szCs w:val="11"/>
                <w:b w:val="1"/>
                <w:bCs w:val="1"/>
                <w:color w:val="auto"/>
              </w:rPr>
              <w:t>Cash flows provided by (used in) investing activities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r>
      <w:tr>
        <w:trPr>
          <w:trHeight w:val="149"/>
        </w:trPr>
        <w:tc>
          <w:tcPr>
            <w:tcW w:w="8460" w:type="dxa"/>
            <w:vAlign w:val="bottom"/>
            <w:gridSpan w:val="3"/>
          </w:tcPr>
          <w:p>
            <w:pPr>
              <w:ind w:left="140"/>
              <w:spacing w:after="0"/>
              <w:rPr>
                <w:sz w:val="20"/>
                <w:szCs w:val="20"/>
                <w:color w:val="auto"/>
              </w:rPr>
            </w:pPr>
            <w:r>
              <w:rPr>
                <w:rFonts w:ascii="Arial" w:cs="Arial" w:eastAsia="Arial" w:hAnsi="Arial"/>
                <w:sz w:val="11"/>
                <w:szCs w:val="11"/>
                <w:color w:val="auto"/>
              </w:rPr>
              <w:t>Purchases of equity securities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(742)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(177)</w:t>
            </w:r>
          </w:p>
        </w:tc>
      </w:tr>
      <w:tr>
        <w:trPr>
          <w:trHeight w:val="149"/>
        </w:trPr>
        <w:tc>
          <w:tcPr>
            <w:tcW w:w="8460" w:type="dxa"/>
            <w:vAlign w:val="bottom"/>
            <w:gridSpan w:val="3"/>
            <w:shd w:val="clear" w:color="auto" w:fill="E0E7ED"/>
          </w:tcPr>
          <w:p>
            <w:pPr>
              <w:ind w:left="140"/>
              <w:spacing w:after="0"/>
              <w:rPr>
                <w:sz w:val="20"/>
                <w:szCs w:val="20"/>
                <w:color w:val="auto"/>
              </w:rPr>
            </w:pPr>
            <w:r>
              <w:rPr>
                <w:rFonts w:ascii="Arial" w:cs="Arial" w:eastAsia="Arial" w:hAnsi="Arial"/>
                <w:sz w:val="11"/>
                <w:szCs w:val="11"/>
                <w:color w:val="auto"/>
              </w:rPr>
              <w:t>Purchases of debt securities available for sale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(336,428)</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(780)</w:t>
            </w:r>
          </w:p>
        </w:tc>
      </w:tr>
      <w:tr>
        <w:trPr>
          <w:trHeight w:val="149"/>
        </w:trPr>
        <w:tc>
          <w:tcPr>
            <w:tcW w:w="8460" w:type="dxa"/>
            <w:vAlign w:val="bottom"/>
            <w:gridSpan w:val="3"/>
          </w:tcPr>
          <w:p>
            <w:pPr>
              <w:ind w:left="140"/>
              <w:spacing w:after="0"/>
              <w:rPr>
                <w:sz w:val="20"/>
                <w:szCs w:val="20"/>
                <w:color w:val="auto"/>
              </w:rPr>
            </w:pPr>
            <w:r>
              <w:rPr>
                <w:rFonts w:ascii="Arial" w:cs="Arial" w:eastAsia="Arial" w:hAnsi="Arial"/>
                <w:sz w:val="11"/>
                <w:szCs w:val="11"/>
                <w:color w:val="auto"/>
              </w:rPr>
              <w:t>Proceeds from sales of equity securities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5,650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626</w:t>
            </w:r>
          </w:p>
        </w:tc>
      </w:tr>
      <w:tr>
        <w:trPr>
          <w:trHeight w:val="149"/>
        </w:trPr>
        <w:tc>
          <w:tcPr>
            <w:tcW w:w="8460" w:type="dxa"/>
            <w:vAlign w:val="bottom"/>
            <w:gridSpan w:val="3"/>
            <w:shd w:val="clear" w:color="auto" w:fill="E0E7ED"/>
          </w:tcPr>
          <w:p>
            <w:pPr>
              <w:ind w:left="140"/>
              <w:spacing w:after="0"/>
              <w:rPr>
                <w:sz w:val="20"/>
                <w:szCs w:val="20"/>
                <w:color w:val="auto"/>
              </w:rPr>
            </w:pPr>
            <w:r>
              <w:rPr>
                <w:rFonts w:ascii="Arial" w:cs="Arial" w:eastAsia="Arial" w:hAnsi="Arial"/>
                <w:sz w:val="11"/>
                <w:szCs w:val="11"/>
                <w:color w:val="auto"/>
              </w:rPr>
              <w:t>Proceeds from sales of debt securities available for sale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528,940</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101,360</w:t>
            </w:r>
          </w:p>
        </w:tc>
      </w:tr>
      <w:tr>
        <w:trPr>
          <w:trHeight w:val="149"/>
        </w:trPr>
        <w:tc>
          <w:tcPr>
            <w:tcW w:w="8460" w:type="dxa"/>
            <w:vAlign w:val="bottom"/>
            <w:gridSpan w:val="3"/>
          </w:tcPr>
          <w:p>
            <w:pPr>
              <w:ind w:left="140"/>
              <w:spacing w:after="0"/>
              <w:rPr>
                <w:sz w:val="20"/>
                <w:szCs w:val="20"/>
                <w:color w:val="auto"/>
              </w:rPr>
            </w:pPr>
            <w:r>
              <w:rPr>
                <w:rFonts w:ascii="Arial" w:cs="Arial" w:eastAsia="Arial" w:hAnsi="Arial"/>
                <w:sz w:val="11"/>
                <w:szCs w:val="11"/>
                <w:color w:val="auto"/>
              </w:rPr>
              <w:t>Proceeds from paydowns and maturities of debt securities held to maturity</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11,754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11,154</w:t>
            </w:r>
          </w:p>
        </w:tc>
      </w:tr>
      <w:tr>
        <w:trPr>
          <w:trHeight w:val="149"/>
        </w:trPr>
        <w:tc>
          <w:tcPr>
            <w:tcW w:w="8460" w:type="dxa"/>
            <w:vAlign w:val="bottom"/>
            <w:gridSpan w:val="3"/>
            <w:shd w:val="clear" w:color="auto" w:fill="E0E7ED"/>
          </w:tcPr>
          <w:p>
            <w:pPr>
              <w:ind w:left="140"/>
              <w:spacing w:after="0"/>
              <w:rPr>
                <w:sz w:val="20"/>
                <w:szCs w:val="20"/>
                <w:color w:val="auto"/>
              </w:rPr>
            </w:pPr>
            <w:r>
              <w:rPr>
                <w:rFonts w:ascii="Arial" w:cs="Arial" w:eastAsia="Arial" w:hAnsi="Arial"/>
                <w:sz w:val="11"/>
                <w:szCs w:val="11"/>
                <w:color w:val="auto"/>
              </w:rPr>
              <w:t>Proceeds from paydowns and maturities of debt securities available for sale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92,454</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79,104</w:t>
            </w:r>
          </w:p>
        </w:tc>
      </w:tr>
      <w:tr>
        <w:trPr>
          <w:trHeight w:val="149"/>
        </w:trPr>
        <w:tc>
          <w:tcPr>
            <w:tcW w:w="8460" w:type="dxa"/>
            <w:vAlign w:val="bottom"/>
            <w:gridSpan w:val="3"/>
          </w:tcPr>
          <w:p>
            <w:pPr>
              <w:ind w:left="140"/>
              <w:spacing w:after="0"/>
              <w:rPr>
                <w:sz w:val="20"/>
                <w:szCs w:val="20"/>
                <w:color w:val="auto"/>
              </w:rPr>
            </w:pPr>
            <w:r>
              <w:rPr>
                <w:rFonts w:ascii="Arial" w:cs="Arial" w:eastAsia="Arial" w:hAnsi="Arial"/>
                <w:sz w:val="11"/>
                <w:szCs w:val="11"/>
                <w:color w:val="auto"/>
              </w:rPr>
              <w:t>Purchases of restricted bank stock</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460" w:type="dxa"/>
            <w:vAlign w:val="bottom"/>
            <w:gridSpan w:val="3"/>
            <w:shd w:val="clear" w:color="auto" w:fill="E0E7ED"/>
          </w:tcPr>
          <w:p>
            <w:pPr>
              <w:ind w:left="140"/>
              <w:spacing w:after="0"/>
              <w:rPr>
                <w:sz w:val="20"/>
                <w:szCs w:val="20"/>
                <w:color w:val="auto"/>
              </w:rPr>
            </w:pPr>
            <w:r>
              <w:rPr>
                <w:rFonts w:ascii="Arial" w:cs="Arial" w:eastAsia="Arial" w:hAnsi="Arial"/>
                <w:sz w:val="11"/>
                <w:szCs w:val="11"/>
                <w:color w:val="auto"/>
              </w:rPr>
              <w:t>Proceeds from the redemption of restricted bank stock</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460" w:type="dxa"/>
            <w:vAlign w:val="bottom"/>
            <w:gridSpan w:val="3"/>
          </w:tcPr>
          <w:p>
            <w:pPr>
              <w:ind w:left="140"/>
              <w:spacing w:after="0"/>
              <w:rPr>
                <w:sz w:val="20"/>
                <w:szCs w:val="20"/>
                <w:color w:val="auto"/>
              </w:rPr>
            </w:pPr>
            <w:r>
              <w:rPr>
                <w:rFonts w:ascii="Arial" w:cs="Arial" w:eastAsia="Arial" w:hAnsi="Arial"/>
                <w:sz w:val="11"/>
                <w:szCs w:val="11"/>
                <w:color w:val="auto"/>
              </w:rPr>
              <w:t>Net (increase) decrease in loans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(93,249)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56,113</w:t>
            </w:r>
          </w:p>
        </w:tc>
      </w:tr>
      <w:tr>
        <w:trPr>
          <w:trHeight w:val="127"/>
        </w:trPr>
        <w:tc>
          <w:tcPr>
            <w:tcW w:w="8460" w:type="dxa"/>
            <w:vAlign w:val="bottom"/>
            <w:gridSpan w:val="3"/>
            <w:shd w:val="clear" w:color="auto" w:fill="E0E7ED"/>
          </w:tcPr>
          <w:p>
            <w:pPr>
              <w:ind w:left="140"/>
              <w:spacing w:after="0"/>
              <w:rPr>
                <w:sz w:val="20"/>
                <w:szCs w:val="20"/>
                <w:color w:val="auto"/>
              </w:rPr>
            </w:pPr>
            <w:r>
              <w:rPr>
                <w:rFonts w:ascii="Arial" w:cs="Arial" w:eastAsia="Arial" w:hAnsi="Arial"/>
                <w:sz w:val="11"/>
                <w:szCs w:val="11"/>
                <w:color w:val="auto"/>
              </w:rPr>
              <w:t xml:space="preserve">Net cash received in (paid for) acquisitions (see Note </w:t>
            </w:r>
            <w:r>
              <w:rPr>
                <w:rFonts w:ascii="Arial" w:cs="Arial" w:eastAsia="Arial" w:hAnsi="Arial"/>
                <w:sz w:val="11"/>
                <w:szCs w:val="11"/>
                <w:color w:val="0000FF"/>
              </w:rPr>
              <w:t>2</w:t>
            </w:r>
            <w:r>
              <w:rPr>
                <w:rFonts w:ascii="Arial" w:cs="Arial" w:eastAsia="Arial" w:hAnsi="Arial"/>
                <w:sz w:val="11"/>
                <w:szCs w:val="11"/>
                <w:color w:val="auto"/>
              </w:rPr>
              <w:t>)</w:t>
            </w:r>
          </w:p>
        </w:tc>
        <w:tc>
          <w:tcPr>
            <w:tcW w:w="320" w:type="dxa"/>
            <w:vAlign w:val="bottom"/>
            <w:shd w:val="clear" w:color="auto" w:fill="E0E7ED"/>
          </w:tcPr>
          <w:p>
            <w:pPr>
              <w:spacing w:after="0"/>
              <w:rPr>
                <w:sz w:val="11"/>
                <w:szCs w:val="11"/>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385,808</w:t>
            </w: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w:t>
            </w:r>
          </w:p>
        </w:tc>
      </w:tr>
      <w:tr>
        <w:trPr>
          <w:trHeight w:val="21"/>
        </w:trPr>
        <w:tc>
          <w:tcPr>
            <w:tcW w:w="2820" w:type="dxa"/>
            <w:vAlign w:val="bottom"/>
            <w:shd w:val="clear" w:color="auto" w:fill="E0E7ED"/>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560" w:type="dxa"/>
            <w:vAlign w:val="bottom"/>
            <w:shd w:val="clear" w:color="auto" w:fill="E0E7ED"/>
          </w:tcPr>
          <w:p>
            <w:pPr>
              <w:spacing w:after="0" w:line="20" w:lineRule="exact"/>
              <w:rPr>
                <w:sz w:val="1"/>
                <w:szCs w:val="1"/>
                <w:color w:val="auto"/>
              </w:rPr>
            </w:pPr>
          </w:p>
        </w:tc>
        <w:tc>
          <w:tcPr>
            <w:tcW w:w="320" w:type="dxa"/>
            <w:vAlign w:val="bottom"/>
            <w:shd w:val="clear" w:color="auto" w:fill="E0E7ED"/>
          </w:tcPr>
          <w:p>
            <w:pPr>
              <w:spacing w:after="0" w:line="20" w:lineRule="exact"/>
              <w:rPr>
                <w:sz w:val="1"/>
                <w:szCs w:val="1"/>
                <w:color w:val="auto"/>
              </w:rPr>
            </w:pPr>
          </w:p>
        </w:tc>
        <w:tc>
          <w:tcPr>
            <w:tcW w:w="1040" w:type="dxa"/>
            <w:vAlign w:val="bottom"/>
            <w:shd w:val="clear" w:color="auto" w:fill="E0E7ED"/>
          </w:tcPr>
          <w:p>
            <w:pPr>
              <w:spacing w:after="0" w:line="20" w:lineRule="exact"/>
              <w:rPr>
                <w:sz w:val="1"/>
                <w:szCs w:val="1"/>
                <w:color w:val="auto"/>
              </w:rPr>
            </w:pPr>
          </w:p>
        </w:tc>
        <w:tc>
          <w:tcPr>
            <w:tcW w:w="100" w:type="dxa"/>
            <w:vAlign w:val="bottom"/>
            <w:shd w:val="clear" w:color="auto" w:fill="E0E7ED"/>
          </w:tcPr>
          <w:p>
            <w:pPr>
              <w:spacing w:after="0" w:line="20" w:lineRule="exact"/>
              <w:rPr>
                <w:sz w:val="1"/>
                <w:szCs w:val="1"/>
                <w:color w:val="auto"/>
              </w:rPr>
            </w:pPr>
          </w:p>
        </w:tc>
        <w:tc>
          <w:tcPr>
            <w:tcW w:w="320" w:type="dxa"/>
            <w:vAlign w:val="bottom"/>
            <w:shd w:val="clear" w:color="auto" w:fill="E0E7ED"/>
          </w:tcPr>
          <w:p>
            <w:pPr>
              <w:spacing w:after="0" w:line="20" w:lineRule="exact"/>
              <w:rPr>
                <w:sz w:val="1"/>
                <w:szCs w:val="1"/>
                <w:color w:val="auto"/>
              </w:rPr>
            </w:pPr>
          </w:p>
        </w:tc>
        <w:tc>
          <w:tcPr>
            <w:tcW w:w="1040" w:type="dxa"/>
            <w:vAlign w:val="bottom"/>
            <w:shd w:val="clear" w:color="auto" w:fill="E0E7ED"/>
          </w:tcPr>
          <w:p>
            <w:pPr>
              <w:spacing w:after="0" w:line="20" w:lineRule="exact"/>
              <w:rPr>
                <w:sz w:val="1"/>
                <w:szCs w:val="1"/>
                <w:color w:val="auto"/>
              </w:rPr>
            </w:pPr>
          </w:p>
        </w:tc>
      </w:tr>
      <w:tr>
        <w:trPr>
          <w:trHeight w:val="149"/>
        </w:trPr>
        <w:tc>
          <w:tcPr>
            <w:tcW w:w="8460" w:type="dxa"/>
            <w:vAlign w:val="bottom"/>
            <w:gridSpan w:val="3"/>
          </w:tcPr>
          <w:p>
            <w:pPr>
              <w:ind w:left="140"/>
              <w:spacing w:after="0"/>
              <w:rPr>
                <w:sz w:val="20"/>
                <w:szCs w:val="20"/>
                <w:color w:val="auto"/>
              </w:rPr>
            </w:pPr>
            <w:r>
              <w:rPr>
                <w:rFonts w:ascii="Arial" w:cs="Arial" w:eastAsia="Arial" w:hAnsi="Arial"/>
                <w:sz w:val="11"/>
                <w:szCs w:val="11"/>
                <w:color w:val="auto"/>
              </w:rPr>
              <w:t>Cash paid for premiums on bank-owned life insurance</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(70)</w:t>
            </w:r>
          </w:p>
        </w:tc>
      </w:tr>
      <w:tr>
        <w:trPr>
          <w:trHeight w:val="149"/>
        </w:trPr>
        <w:tc>
          <w:tcPr>
            <w:tcW w:w="8460" w:type="dxa"/>
            <w:vAlign w:val="bottom"/>
            <w:gridSpan w:val="3"/>
            <w:shd w:val="clear" w:color="auto" w:fill="E0E7ED"/>
          </w:tcPr>
          <w:p>
            <w:pPr>
              <w:ind w:left="140"/>
              <w:spacing w:after="0"/>
              <w:rPr>
                <w:sz w:val="20"/>
                <w:szCs w:val="20"/>
                <w:color w:val="auto"/>
              </w:rPr>
            </w:pPr>
            <w:r>
              <w:rPr>
                <w:rFonts w:ascii="Arial" w:cs="Arial" w:eastAsia="Arial" w:hAnsi="Arial"/>
                <w:sz w:val="11"/>
                <w:szCs w:val="11"/>
                <w:color w:val="auto"/>
              </w:rPr>
              <w:t>Proceeds from life insurance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3,306</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2,359</w:t>
            </w:r>
          </w:p>
        </w:tc>
      </w:tr>
      <w:tr>
        <w:trPr>
          <w:trHeight w:val="149"/>
        </w:trPr>
        <w:tc>
          <w:tcPr>
            <w:tcW w:w="8460" w:type="dxa"/>
            <w:vAlign w:val="bottom"/>
            <w:gridSpan w:val="3"/>
          </w:tcPr>
          <w:p>
            <w:pPr>
              <w:ind w:left="140"/>
              <w:spacing w:after="0"/>
              <w:rPr>
                <w:sz w:val="20"/>
                <w:szCs w:val="20"/>
                <w:color w:val="auto"/>
              </w:rPr>
            </w:pPr>
            <w:r>
              <w:rPr>
                <w:rFonts w:ascii="Arial" w:cs="Arial" w:eastAsia="Arial" w:hAnsi="Arial"/>
                <w:sz w:val="11"/>
                <w:szCs w:val="11"/>
                <w:color w:val="auto"/>
              </w:rPr>
              <w:t>Purchases of premises and equipment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(1,797)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(1,365)</w:t>
            </w:r>
          </w:p>
        </w:tc>
      </w:tr>
      <w:tr>
        <w:trPr>
          <w:trHeight w:val="149"/>
        </w:trPr>
        <w:tc>
          <w:tcPr>
            <w:tcW w:w="8460" w:type="dxa"/>
            <w:vAlign w:val="bottom"/>
            <w:gridSpan w:val="3"/>
            <w:shd w:val="clear" w:color="auto" w:fill="E0E7ED"/>
          </w:tcPr>
          <w:p>
            <w:pPr>
              <w:ind w:left="140"/>
              <w:spacing w:after="0"/>
              <w:rPr>
                <w:sz w:val="20"/>
                <w:szCs w:val="20"/>
                <w:color w:val="auto"/>
              </w:rPr>
            </w:pPr>
            <w:r>
              <w:rPr>
                <w:rFonts w:ascii="Arial" w:cs="Arial" w:eastAsia="Arial" w:hAnsi="Arial"/>
                <w:sz w:val="11"/>
                <w:szCs w:val="11"/>
                <w:color w:val="auto"/>
              </w:rPr>
              <w:t>Proceeds from disposition of premises and equipment</w:t>
            </w:r>
          </w:p>
        </w:tc>
        <w:tc>
          <w:tcPr>
            <w:tcW w:w="320" w:type="dxa"/>
            <w:vAlign w:val="bottom"/>
            <w:shd w:val="clear" w:color="auto" w:fill="E0E7ED"/>
          </w:tcPr>
          <w:p>
            <w:pPr>
              <w:spacing w:after="0"/>
              <w:rPr>
                <w:sz w:val="12"/>
                <w:szCs w:val="12"/>
                <w:color w:val="auto"/>
              </w:rPr>
            </w:pPr>
          </w:p>
        </w:tc>
        <w:tc>
          <w:tcPr>
            <w:tcW w:w="114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37</w:t>
            </w:r>
          </w:p>
        </w:tc>
      </w:tr>
      <w:tr>
        <w:trPr>
          <w:trHeight w:val="149"/>
        </w:trPr>
        <w:tc>
          <w:tcPr>
            <w:tcW w:w="8460" w:type="dxa"/>
            <w:vAlign w:val="bottom"/>
            <w:gridSpan w:val="3"/>
          </w:tcPr>
          <w:p>
            <w:pPr>
              <w:ind w:left="140"/>
              <w:spacing w:after="0"/>
              <w:rPr>
                <w:sz w:val="20"/>
                <w:szCs w:val="20"/>
                <w:color w:val="auto"/>
              </w:rPr>
            </w:pPr>
            <w:r>
              <w:rPr>
                <w:rFonts w:ascii="Arial" w:cs="Arial" w:eastAsia="Arial" w:hAnsi="Arial"/>
                <w:sz w:val="11"/>
                <w:szCs w:val="11"/>
                <w:color w:val="auto"/>
              </w:rPr>
              <w:t>Capitalized expenditures on foreclosed real estate</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460" w:type="dxa"/>
            <w:vAlign w:val="bottom"/>
            <w:gridSpan w:val="3"/>
            <w:shd w:val="clear" w:color="auto" w:fill="E0E7ED"/>
          </w:tcPr>
          <w:p>
            <w:pPr>
              <w:ind w:left="140"/>
              <w:spacing w:after="0"/>
              <w:rPr>
                <w:sz w:val="20"/>
                <w:szCs w:val="20"/>
                <w:color w:val="auto"/>
              </w:rPr>
            </w:pPr>
            <w:r>
              <w:rPr>
                <w:rFonts w:ascii="Arial" w:cs="Arial" w:eastAsia="Arial" w:hAnsi="Arial"/>
                <w:sz w:val="11"/>
                <w:szCs w:val="11"/>
                <w:color w:val="auto"/>
              </w:rPr>
              <w:t>Proceeds from sales of OREO and other repossessed assets, including cash payments collected</w:t>
            </w: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14,631</w:t>
            </w:r>
          </w:p>
        </w:tc>
        <w:tc>
          <w:tcPr>
            <w:tcW w:w="100" w:type="dxa"/>
            <w:vAlign w:val="bottom"/>
            <w:shd w:val="clear" w:color="auto" w:fill="E0E7ED"/>
          </w:tcPr>
          <w:p>
            <w:pPr>
              <w:spacing w:after="0"/>
              <w:rPr>
                <w:sz w:val="12"/>
                <w:szCs w:val="12"/>
                <w:color w:val="auto"/>
              </w:rPr>
            </w:pP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600</w:t>
            </w:r>
          </w:p>
        </w:tc>
      </w:tr>
      <w:tr>
        <w:trPr>
          <w:trHeight w:val="139"/>
        </w:trPr>
        <w:tc>
          <w:tcPr>
            <w:tcW w:w="8460" w:type="dxa"/>
            <w:vAlign w:val="bottom"/>
            <w:gridSpan w:val="3"/>
          </w:tcPr>
          <w:p>
            <w:pPr>
              <w:ind w:left="20"/>
              <w:spacing w:after="0"/>
              <w:rPr>
                <w:sz w:val="20"/>
                <w:szCs w:val="20"/>
                <w:color w:val="auto"/>
              </w:rPr>
            </w:pPr>
            <w:r>
              <w:rPr>
                <w:rFonts w:ascii="Arial" w:cs="Arial" w:eastAsia="Arial" w:hAnsi="Arial"/>
                <w:sz w:val="11"/>
                <w:szCs w:val="11"/>
                <w:color w:val="auto"/>
              </w:rPr>
              <w:t>Net cash provided by (used in) investing activities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610,219</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248,961</w:t>
            </w: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(continued)</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 (Unaudited) (Continued)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2024</w:t>
            </w:r>
          </w:p>
        </w:tc>
      </w:tr>
      <w:tr>
        <w:trPr>
          <w:trHeight w:val="129"/>
        </w:trPr>
        <w:tc>
          <w:tcPr>
            <w:tcW w:w="8460" w:type="dxa"/>
            <w:vAlign w:val="bottom"/>
            <w:shd w:val="clear" w:color="auto" w:fill="E0E7ED"/>
          </w:tcPr>
          <w:p>
            <w:pPr>
              <w:ind w:left="20"/>
              <w:spacing w:after="0"/>
              <w:rPr>
                <w:sz w:val="20"/>
                <w:szCs w:val="20"/>
                <w:color w:val="auto"/>
              </w:rPr>
            </w:pPr>
            <w:r>
              <w:rPr>
                <w:rFonts w:ascii="Arial" w:cs="Arial" w:eastAsia="Arial" w:hAnsi="Arial"/>
                <w:sz w:val="11"/>
                <w:szCs w:val="11"/>
                <w:b w:val="1"/>
                <w:bCs w:val="1"/>
                <w:color w:val="auto"/>
              </w:rPr>
              <w:t>Cash flows provided by (used in) financing activities</w:t>
            </w:r>
          </w:p>
        </w:tc>
        <w:tc>
          <w:tcPr>
            <w:tcW w:w="320" w:type="dxa"/>
            <w:vAlign w:val="bottom"/>
            <w:shd w:val="clear" w:color="auto" w:fill="E0E7ED"/>
          </w:tcPr>
          <w:p>
            <w:pPr>
              <w:spacing w:after="0"/>
              <w:rPr>
                <w:sz w:val="11"/>
                <w:szCs w:val="11"/>
                <w:color w:val="auto"/>
              </w:rPr>
            </w:pPr>
          </w:p>
        </w:tc>
        <w:tc>
          <w:tcPr>
            <w:tcW w:w="10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040" w:type="dxa"/>
            <w:vAlign w:val="bottom"/>
            <w:shd w:val="clear" w:color="auto" w:fill="E0E7ED"/>
          </w:tcPr>
          <w:p>
            <w:pPr>
              <w:spacing w:after="0"/>
              <w:rPr>
                <w:sz w:val="11"/>
                <w:szCs w:val="11"/>
                <w:color w:val="auto"/>
              </w:rPr>
            </w:pPr>
          </w:p>
        </w:tc>
      </w:tr>
      <w:tr>
        <w:trPr>
          <w:trHeight w:val="149"/>
        </w:trPr>
        <w:tc>
          <w:tcPr>
            <w:tcW w:w="8460" w:type="dxa"/>
            <w:vAlign w:val="bottom"/>
          </w:tcPr>
          <w:p>
            <w:pPr>
              <w:ind w:left="140"/>
              <w:spacing w:after="0"/>
              <w:rPr>
                <w:sz w:val="20"/>
                <w:szCs w:val="20"/>
                <w:color w:val="auto"/>
              </w:rPr>
            </w:pPr>
            <w:r>
              <w:rPr>
                <w:rFonts w:ascii="Arial" w:cs="Arial" w:eastAsia="Arial" w:hAnsi="Arial"/>
                <w:sz w:val="11"/>
                <w:szCs w:val="11"/>
                <w:color w:val="auto"/>
              </w:rPr>
              <w:t>Net increase (decrease) in deposits</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(94,060)</w:t>
            </w:r>
          </w:p>
        </w:tc>
        <w:tc>
          <w:tcPr>
            <w:tcW w:w="100" w:type="dxa"/>
            <w:vAlign w:val="bottom"/>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(330,945)</w:t>
            </w:r>
          </w:p>
        </w:tc>
      </w:tr>
      <w:tr>
        <w:trPr>
          <w:trHeight w:val="149"/>
        </w:trPr>
        <w:tc>
          <w:tcPr>
            <w:tcW w:w="8460" w:type="dxa"/>
            <w:vAlign w:val="bottom"/>
            <w:shd w:val="clear" w:color="auto" w:fill="E0E7ED"/>
          </w:tcPr>
          <w:p>
            <w:pPr>
              <w:ind w:left="140"/>
              <w:spacing w:after="0"/>
              <w:rPr>
                <w:sz w:val="20"/>
                <w:szCs w:val="20"/>
                <w:color w:val="auto"/>
              </w:rPr>
            </w:pPr>
            <w:r>
              <w:rPr>
                <w:rFonts w:ascii="Arial" w:cs="Arial" w:eastAsia="Arial" w:hAnsi="Arial"/>
                <w:sz w:val="11"/>
                <w:szCs w:val="11"/>
                <w:color w:val="auto"/>
              </w:rPr>
              <w:t>Net increase (decrease) in federal funds purchased and securities sold under agreements to repurchase</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(18,270)</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(40,221)</w:t>
            </w:r>
          </w:p>
        </w:tc>
      </w:tr>
      <w:tr>
        <w:trPr>
          <w:trHeight w:val="149"/>
        </w:trPr>
        <w:tc>
          <w:tcPr>
            <w:tcW w:w="8460" w:type="dxa"/>
            <w:vAlign w:val="bottom"/>
          </w:tcPr>
          <w:p>
            <w:pPr>
              <w:ind w:left="140"/>
              <w:spacing w:after="0"/>
              <w:rPr>
                <w:sz w:val="20"/>
                <w:szCs w:val="20"/>
                <w:color w:val="auto"/>
              </w:rPr>
            </w:pPr>
            <w:r>
              <w:rPr>
                <w:rFonts w:ascii="Arial" w:cs="Arial" w:eastAsia="Arial" w:hAnsi="Arial"/>
                <w:sz w:val="11"/>
                <w:szCs w:val="11"/>
                <w:color w:val="auto"/>
              </w:rPr>
              <w:t>Proceeds from other borrowings, net of debt issuance costs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16,667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460" w:type="dxa"/>
            <w:vAlign w:val="bottom"/>
            <w:shd w:val="clear" w:color="auto" w:fill="E0E7ED"/>
          </w:tcPr>
          <w:p>
            <w:pPr>
              <w:ind w:left="140"/>
              <w:spacing w:after="0"/>
              <w:rPr>
                <w:sz w:val="20"/>
                <w:szCs w:val="20"/>
                <w:color w:val="auto"/>
              </w:rPr>
            </w:pPr>
            <w:r>
              <w:rPr>
                <w:rFonts w:ascii="Arial" w:cs="Arial" w:eastAsia="Arial" w:hAnsi="Arial"/>
                <w:sz w:val="11"/>
                <w:szCs w:val="11"/>
                <w:color w:val="auto"/>
              </w:rPr>
              <w:t>Repayment of other borrowings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(30,000)</w:t>
            </w:r>
          </w:p>
        </w:tc>
      </w:tr>
      <w:tr>
        <w:trPr>
          <w:trHeight w:val="149"/>
        </w:trPr>
        <w:tc>
          <w:tcPr>
            <w:tcW w:w="8460" w:type="dxa"/>
            <w:vAlign w:val="bottom"/>
          </w:tcPr>
          <w:p>
            <w:pPr>
              <w:ind w:left="140"/>
              <w:spacing w:after="0"/>
              <w:rPr>
                <w:sz w:val="20"/>
                <w:szCs w:val="20"/>
                <w:color w:val="auto"/>
              </w:rPr>
            </w:pPr>
            <w:r>
              <w:rPr>
                <w:rFonts w:ascii="Arial" w:cs="Arial" w:eastAsia="Arial" w:hAnsi="Arial"/>
                <w:sz w:val="11"/>
                <w:szCs w:val="11"/>
                <w:color w:val="auto"/>
              </w:rPr>
              <w:t>Cash dividends paid</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(14,224)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(13,259)</w:t>
            </w:r>
          </w:p>
        </w:tc>
      </w:tr>
      <w:tr>
        <w:trPr>
          <w:trHeight w:val="149"/>
        </w:trPr>
        <w:tc>
          <w:tcPr>
            <w:tcW w:w="8460" w:type="dxa"/>
            <w:vAlign w:val="bottom"/>
            <w:shd w:val="clear" w:color="auto" w:fill="E0E7ED"/>
          </w:tcPr>
          <w:p>
            <w:pPr>
              <w:ind w:left="140"/>
              <w:spacing w:after="0"/>
              <w:rPr>
                <w:sz w:val="20"/>
                <w:szCs w:val="20"/>
                <w:color w:val="auto"/>
              </w:rPr>
            </w:pPr>
            <w:r>
              <w:rPr>
                <w:rFonts w:ascii="Arial" w:cs="Arial" w:eastAsia="Arial" w:hAnsi="Arial"/>
                <w:sz w:val="11"/>
                <w:szCs w:val="11"/>
                <w:color w:val="auto"/>
              </w:rPr>
              <w:t>Purchase of treasury stock</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(4,836)</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460" w:type="dxa"/>
            <w:vAlign w:val="bottom"/>
          </w:tcPr>
          <w:p>
            <w:pPr>
              <w:ind w:left="140"/>
              <w:spacing w:after="0"/>
              <w:rPr>
                <w:sz w:val="20"/>
                <w:szCs w:val="20"/>
                <w:color w:val="auto"/>
              </w:rPr>
            </w:pPr>
            <w:r>
              <w:rPr>
                <w:rFonts w:ascii="Arial" w:cs="Arial" w:eastAsia="Arial" w:hAnsi="Arial"/>
                <w:sz w:val="11"/>
                <w:szCs w:val="11"/>
                <w:color w:val="auto"/>
              </w:rPr>
              <w:t>Cash paid for withholding taxes on stock-based payments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(881)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(396)</w:t>
            </w:r>
          </w:p>
        </w:tc>
      </w:tr>
      <w:tr>
        <w:trPr>
          <w:trHeight w:val="149"/>
        </w:trPr>
        <w:tc>
          <w:tcPr>
            <w:tcW w:w="8460" w:type="dxa"/>
            <w:vAlign w:val="bottom"/>
            <w:shd w:val="clear" w:color="auto" w:fill="E0E7ED"/>
          </w:tcPr>
          <w:p>
            <w:pPr>
              <w:ind w:left="140"/>
              <w:spacing w:after="0"/>
              <w:rPr>
                <w:sz w:val="20"/>
                <w:szCs w:val="20"/>
                <w:color w:val="auto"/>
              </w:rPr>
            </w:pPr>
            <w:r>
              <w:rPr>
                <w:rFonts w:ascii="Arial" w:cs="Arial" w:eastAsia="Arial" w:hAnsi="Arial"/>
                <w:sz w:val="11"/>
                <w:szCs w:val="11"/>
                <w:color w:val="auto"/>
              </w:rPr>
              <w:t>Proceeds from the exercise of stock options, warrants, and SSARs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460" w:type="dxa"/>
            <w:vAlign w:val="bottom"/>
          </w:tcPr>
          <w:p>
            <w:pPr>
              <w:ind w:left="140"/>
              <w:spacing w:after="0"/>
              <w:rPr>
                <w:sz w:val="20"/>
                <w:szCs w:val="20"/>
                <w:color w:val="auto"/>
              </w:rPr>
            </w:pPr>
            <w:r>
              <w:rPr>
                <w:rFonts w:ascii="Arial" w:cs="Arial" w:eastAsia="Arial" w:hAnsi="Arial"/>
                <w:sz w:val="11"/>
                <w:szCs w:val="11"/>
                <w:color w:val="auto"/>
              </w:rPr>
              <w:t>Issuance of treasury stock for the ESPP</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619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460" w:type="dxa"/>
            <w:vAlign w:val="bottom"/>
            <w:shd w:val="clear" w:color="auto" w:fill="E0E7ED"/>
          </w:tcPr>
          <w:p>
            <w:pPr>
              <w:ind w:left="140"/>
              <w:spacing w:after="0"/>
              <w:rPr>
                <w:sz w:val="20"/>
                <w:szCs w:val="20"/>
                <w:color w:val="auto"/>
              </w:rPr>
            </w:pPr>
            <w:r>
              <w:rPr>
                <w:rFonts w:ascii="Arial" w:cs="Arial" w:eastAsia="Arial" w:hAnsi="Arial"/>
                <w:sz w:val="11"/>
                <w:szCs w:val="11"/>
                <w:color w:val="auto"/>
              </w:rPr>
              <w:t>Common stock issuance costs</w:t>
            </w: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(920)</w:t>
            </w:r>
          </w:p>
        </w:tc>
        <w:tc>
          <w:tcPr>
            <w:tcW w:w="100" w:type="dxa"/>
            <w:vAlign w:val="bottom"/>
            <w:shd w:val="clear" w:color="auto" w:fill="E0E7ED"/>
          </w:tcPr>
          <w:p>
            <w:pPr>
              <w:spacing w:after="0"/>
              <w:rPr>
                <w:sz w:val="12"/>
                <w:szCs w:val="12"/>
                <w:color w:val="auto"/>
              </w:rPr>
            </w:pP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(115,964)</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(414,821)</w:t>
            </w:r>
          </w:p>
        </w:tc>
      </w:tr>
      <w:tr>
        <w:trPr>
          <w:trHeight w:val="139"/>
        </w:trPr>
        <w:tc>
          <w:tcPr>
            <w:tcW w:w="846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r>
      <w:tr>
        <w:trPr>
          <w:trHeight w:val="149"/>
        </w:trPr>
        <w:tc>
          <w:tcPr>
            <w:tcW w:w="8460" w:type="dxa"/>
            <w:vAlign w:val="bottom"/>
          </w:tcPr>
          <w:p>
            <w:pPr>
              <w:ind w:left="20"/>
              <w:spacing w:after="0"/>
              <w:rPr>
                <w:sz w:val="20"/>
                <w:szCs w:val="20"/>
                <w:color w:val="auto"/>
              </w:rPr>
            </w:pPr>
            <w:r>
              <w:rPr>
                <w:rFonts w:ascii="Arial" w:cs="Arial" w:eastAsia="Arial" w:hAnsi="Arial"/>
                <w:sz w:val="11"/>
                <w:szCs w:val="11"/>
                <w:b w:val="1"/>
                <w:bCs w:val="1"/>
                <w:color w:val="auto"/>
              </w:rPr>
              <w:t>Net increase (decrease) in cash and cash equivalents</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502,633</w:t>
            </w:r>
          </w:p>
        </w:tc>
        <w:tc>
          <w:tcPr>
            <w:tcW w:w="100" w:type="dxa"/>
            <w:vAlign w:val="bottom"/>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(128,510)</w:t>
            </w:r>
          </w:p>
        </w:tc>
      </w:tr>
      <w:tr>
        <w:trPr>
          <w:trHeight w:val="149"/>
        </w:trPr>
        <w:tc>
          <w:tcPr>
            <w:tcW w:w="8460" w:type="dxa"/>
            <w:vAlign w:val="bottom"/>
            <w:shd w:val="clear" w:color="auto" w:fill="E0E7ED"/>
          </w:tcPr>
          <w:p>
            <w:pPr>
              <w:ind w:left="20"/>
              <w:spacing w:after="0"/>
              <w:rPr>
                <w:sz w:val="20"/>
                <w:szCs w:val="20"/>
                <w:color w:val="auto"/>
              </w:rPr>
            </w:pPr>
            <w:r>
              <w:rPr>
                <w:rFonts w:ascii="Arial" w:cs="Arial" w:eastAsia="Arial" w:hAnsi="Arial"/>
                <w:sz w:val="11"/>
                <w:szCs w:val="11"/>
                <w:b w:val="1"/>
                <w:bCs w:val="1"/>
                <w:color w:val="auto"/>
              </w:rPr>
              <w:t>Cash and cash equivalents, beginning of period</w:t>
            </w: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697,659</w:t>
            </w:r>
          </w:p>
        </w:tc>
        <w:tc>
          <w:tcPr>
            <w:tcW w:w="100" w:type="dxa"/>
            <w:vAlign w:val="bottom"/>
            <w:shd w:val="clear" w:color="auto" w:fill="E0E7ED"/>
          </w:tcPr>
          <w:p>
            <w:pPr>
              <w:spacing w:after="0"/>
              <w:rPr>
                <w:sz w:val="12"/>
                <w:szCs w:val="12"/>
                <w:color w:val="auto"/>
              </w:rPr>
            </w:pPr>
          </w:p>
        </w:tc>
        <w:tc>
          <w:tcPr>
            <w:tcW w:w="320" w:type="dxa"/>
            <w:vAlign w:val="bottom"/>
            <w:tcBorders>
              <w:bottom w:val="single" w:sz="8" w:color="auto"/>
            </w:tcBorders>
            <w:shd w:val="clear" w:color="auto" w:fill="E0E7ED"/>
          </w:tcPr>
          <w:p>
            <w:pPr>
              <w:spacing w:after="0"/>
              <w:rPr>
                <w:sz w:val="12"/>
                <w:szCs w:val="12"/>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719,581</w:t>
            </w:r>
          </w:p>
        </w:tc>
      </w:tr>
      <w:tr>
        <w:trPr>
          <w:trHeight w:val="139"/>
        </w:trPr>
        <w:tc>
          <w:tcPr>
            <w:tcW w:w="846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ending of period</w:t>
            </w: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1,200,292</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591,071</w:t>
            </w:r>
          </w:p>
        </w:tc>
      </w:tr>
      <w:tr>
        <w:trPr>
          <w:trHeight w:val="20"/>
        </w:trPr>
        <w:tc>
          <w:tcPr>
            <w:tcW w:w="846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0"/>
        </w:trPr>
        <w:tc>
          <w:tcPr>
            <w:tcW w:w="8460" w:type="dxa"/>
            <w:vAlign w:val="bottom"/>
            <w:shd w:val="clear" w:color="auto" w:fill="E0E7ED"/>
          </w:tcPr>
          <w:p>
            <w:pPr>
              <w:spacing w:after="0"/>
              <w:rPr>
                <w:sz w:val="10"/>
                <w:szCs w:val="10"/>
                <w:color w:val="auto"/>
              </w:rPr>
            </w:pPr>
          </w:p>
        </w:tc>
        <w:tc>
          <w:tcPr>
            <w:tcW w:w="320" w:type="dxa"/>
            <w:vAlign w:val="bottom"/>
            <w:shd w:val="clear" w:color="auto" w:fill="E0E7ED"/>
          </w:tcPr>
          <w:p>
            <w:pPr>
              <w:spacing w:after="0"/>
              <w:rPr>
                <w:sz w:val="10"/>
                <w:szCs w:val="10"/>
                <w:color w:val="auto"/>
              </w:rPr>
            </w:pPr>
          </w:p>
        </w:tc>
        <w:tc>
          <w:tcPr>
            <w:tcW w:w="104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20" w:type="dxa"/>
            <w:vAlign w:val="bottom"/>
            <w:shd w:val="clear" w:color="auto" w:fill="E0E7ED"/>
          </w:tcPr>
          <w:p>
            <w:pPr>
              <w:spacing w:after="0"/>
              <w:rPr>
                <w:sz w:val="10"/>
                <w:szCs w:val="10"/>
                <w:color w:val="auto"/>
              </w:rPr>
            </w:pPr>
          </w:p>
        </w:tc>
        <w:tc>
          <w:tcPr>
            <w:tcW w:w="1040" w:type="dxa"/>
            <w:vAlign w:val="bottom"/>
            <w:shd w:val="clear" w:color="auto" w:fill="E0E7ED"/>
          </w:tcPr>
          <w:p>
            <w:pPr>
              <w:spacing w:after="0"/>
              <w:rPr>
                <w:sz w:val="10"/>
                <w:szCs w:val="10"/>
                <w:color w:val="auto"/>
              </w:rPr>
            </w:pPr>
          </w:p>
        </w:tc>
      </w:tr>
      <w:tr>
        <w:trPr>
          <w:trHeight w:val="149"/>
        </w:trPr>
        <w:tc>
          <w:tcPr>
            <w:tcW w:w="8460" w:type="dxa"/>
            <w:vAlign w:val="bottom"/>
          </w:tcPr>
          <w:p>
            <w:pPr>
              <w:ind w:left="20"/>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9"/>
        </w:trPr>
        <w:tc>
          <w:tcPr>
            <w:tcW w:w="846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r>
      <w:tr>
        <w:trPr>
          <w:trHeight w:val="149"/>
        </w:trPr>
        <w:tc>
          <w:tcPr>
            <w:tcW w:w="8460" w:type="dxa"/>
            <w:vAlign w:val="bottom"/>
          </w:tcPr>
          <w:p>
            <w:pPr>
              <w:ind w:left="20"/>
              <w:spacing w:after="0"/>
              <w:rPr>
                <w:sz w:val="20"/>
                <w:szCs w:val="20"/>
                <w:color w:val="auto"/>
              </w:rPr>
            </w:pPr>
            <w:r>
              <w:rPr>
                <w:rFonts w:ascii="Arial" w:cs="Arial" w:eastAsia="Arial" w:hAnsi="Arial"/>
                <w:sz w:val="11"/>
                <w:szCs w:val="11"/>
                <w:b w:val="1"/>
                <w:bCs w:val="1"/>
                <w:color w:val="auto"/>
              </w:rPr>
              <w:t>Cash payments for:</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8460" w:type="dxa"/>
            <w:vAlign w:val="bottom"/>
            <w:shd w:val="clear" w:color="auto" w:fill="E0E7ED"/>
          </w:tcPr>
          <w:p>
            <w:pPr>
              <w:ind w:left="140"/>
              <w:spacing w:after="0"/>
              <w:rPr>
                <w:sz w:val="20"/>
                <w:szCs w:val="20"/>
                <w:color w:val="auto"/>
              </w:rPr>
            </w:pPr>
            <w:r>
              <w:rPr>
                <w:rFonts w:ascii="Arial" w:cs="Arial" w:eastAsia="Arial" w:hAnsi="Arial"/>
                <w:sz w:val="11"/>
                <w:szCs w:val="11"/>
                <w:color w:val="auto"/>
              </w:rPr>
              <w:t>Interest</w:t>
            </w:r>
          </w:p>
        </w:tc>
        <w:tc>
          <w:tcPr>
            <w:tcW w:w="320" w:type="dxa"/>
            <w:vAlign w:val="bottom"/>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42,514</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51,676</w:t>
            </w:r>
          </w:p>
        </w:tc>
      </w:tr>
      <w:tr>
        <w:trPr>
          <w:trHeight w:val="159"/>
        </w:trPr>
        <w:tc>
          <w:tcPr>
            <w:tcW w:w="8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9"/>
        </w:trPr>
        <w:tc>
          <w:tcPr>
            <w:tcW w:w="8460" w:type="dxa"/>
            <w:vAlign w:val="bottom"/>
            <w:shd w:val="clear" w:color="auto" w:fill="E0E7ED"/>
          </w:tcPr>
          <w:p>
            <w:pPr>
              <w:ind w:left="20"/>
              <w:spacing w:after="0"/>
              <w:rPr>
                <w:sz w:val="20"/>
                <w:szCs w:val="20"/>
                <w:color w:val="auto"/>
              </w:rPr>
            </w:pPr>
            <w:r>
              <w:rPr>
                <w:rFonts w:ascii="Arial" w:cs="Arial" w:eastAsia="Arial" w:hAnsi="Arial"/>
                <w:sz w:val="11"/>
                <w:szCs w:val="11"/>
                <w:b w:val="1"/>
                <w:bCs w:val="1"/>
                <w:color w:val="auto"/>
              </w:rPr>
              <w:t>Non-cash investing and financing activities:</w:t>
            </w: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r>
      <w:tr>
        <w:trPr>
          <w:trHeight w:val="153"/>
        </w:trPr>
        <w:tc>
          <w:tcPr>
            <w:tcW w:w="8460" w:type="dxa"/>
            <w:vAlign w:val="bottom"/>
          </w:tcPr>
          <w:p>
            <w:pPr>
              <w:ind w:left="140"/>
              <w:spacing w:after="0"/>
              <w:rPr>
                <w:sz w:val="20"/>
                <w:szCs w:val="20"/>
                <w:color w:val="auto"/>
              </w:rPr>
            </w:pPr>
            <w:r>
              <w:rPr>
                <w:rFonts w:ascii="Arial" w:cs="Arial" w:eastAsia="Arial" w:hAnsi="Arial"/>
                <w:sz w:val="11"/>
                <w:szCs w:val="11"/>
                <w:color w:val="auto"/>
              </w:rPr>
              <w:t>OREO and other repossessed assets acquired in settlement of loans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14,844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 to Consolidated Financial Statements (Unaudited)</w:t>
      </w:r>
      <w:r>
        <w:rPr>
          <w:rFonts w:ascii="Arial" w:cs="Arial" w:eastAsia="Arial" w:hAnsi="Arial"/>
          <w:sz w:val="14"/>
          <w:szCs w:val="14"/>
          <w:color w:val="auto"/>
        </w:rPr>
        <w:t>.</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SIGNIFICANT ACCOUNTING POLICIES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Nature of Operations</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First Busey Corporation, a Nevada corporation organized in 1980, is a $19.46 billion financial holding company headquartered in Leawood, Kansas. Busey’s common stock is traded on The Nasdaq Global Select Market under the symbol “BUSE.”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Busey operates and reports its business in three segments: Banking, Wealth Management, and FirsTech.</w:t>
      </w:r>
    </w:p>
    <w:p>
      <w:pPr>
        <w:spacing w:after="0" w:line="147" w:lineRule="exact"/>
        <w:rPr>
          <w:sz w:val="20"/>
          <w:szCs w:val="20"/>
          <w:color w:val="auto"/>
        </w:rPr>
      </w:pPr>
    </w:p>
    <w:p>
      <w:pPr>
        <w:jc w:val="both"/>
        <w:ind w:left="520" w:hanging="260"/>
        <w:spacing w:after="0" w:line="27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Banking</w:t>
      </w:r>
      <w:r>
        <w:rPr>
          <w:rFonts w:ascii="Arial" w:cs="Arial" w:eastAsia="Arial" w:hAnsi="Arial"/>
          <w:sz w:val="14"/>
          <w:szCs w:val="14"/>
          <w:color w:val="auto"/>
        </w:rPr>
        <w:t xml:space="preserve"> operating segment provides a full range of banking services to individual and corporate customers through its banking center network in Arizona, Colorado, Florida, Illinois, Indiana, Kansas, Missouri, New Mexico, Oklahoma, and Texas. Busey currently operates through two wholly-owned bank subsidiaries, Busey Bank and CrossFirst Bank. For additional information about the CrossFirst acquisition,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Note 2. Mergers and Acquisitions</w:t>
      </w:r>
      <w:r>
        <w:rPr>
          <w:rFonts w:ascii="Arial" w:cs="Arial" w:eastAsia="Arial" w:hAnsi="Arial"/>
          <w:sz w:val="14"/>
          <w:szCs w:val="14"/>
          <w:i w:val="1"/>
          <w:iCs w:val="1"/>
          <w:color w:val="auto"/>
        </w:rPr>
        <w:t>.”</w:t>
      </w:r>
    </w:p>
    <w:p>
      <w:pPr>
        <w:spacing w:after="0" w:line="13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Wealth Management</w:t>
      </w:r>
      <w:r>
        <w:rPr>
          <w:rFonts w:ascii="Arial" w:cs="Arial" w:eastAsia="Arial" w:hAnsi="Arial"/>
          <w:sz w:val="14"/>
          <w:szCs w:val="14"/>
          <w:color w:val="auto"/>
        </w:rPr>
        <w:t xml:space="preserve"> operating segment provides a full range of asset management, investment, brokerage, fiduciary, philanthropic advisory, tax preparation, and farm management services to individuals, businesses, and foundations.</w:t>
      </w:r>
    </w:p>
    <w:p>
      <w:pPr>
        <w:spacing w:after="0" w:line="88"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FirsTech</w:t>
      </w:r>
      <w:r>
        <w:rPr>
          <w:rFonts w:ascii="Arial" w:cs="Arial" w:eastAsia="Arial" w:hAnsi="Arial"/>
          <w:sz w:val="14"/>
          <w:szCs w:val="14"/>
          <w:color w:val="auto"/>
        </w:rPr>
        <w:t xml:space="preserve"> operating segment provides comprehensive and innovative payment technology solutions including online, mobile, and voice-recognition bill payments; money management and credit card networks; direct debit services; lockbox remittance processing for payments made by mail; and walk-in payments. FirsTech also provides additional tools to help clients with billing, reconciliation, bill reminders, and treasury services.</w:t>
      </w:r>
    </w:p>
    <w:p>
      <w:pPr>
        <w:spacing w:after="0" w:line="112" w:lineRule="exact"/>
        <w:rPr>
          <w:sz w:val="20"/>
          <w:szCs w:val="20"/>
          <w:color w:val="auto"/>
        </w:rPr>
      </w:pPr>
    </w:p>
    <w:p>
      <w:pPr>
        <w:ind w:right="3260"/>
        <w:spacing w:after="0" w:line="458" w:lineRule="auto"/>
        <w:rPr>
          <w:sz w:val="20"/>
          <w:szCs w:val="20"/>
          <w:color w:val="auto"/>
        </w:rPr>
      </w:pPr>
      <w:r>
        <w:rPr>
          <w:rFonts w:ascii="Arial" w:cs="Arial" w:eastAsia="Arial" w:hAnsi="Arial"/>
          <w:sz w:val="14"/>
          <w:szCs w:val="14"/>
          <w:color w:val="auto"/>
        </w:rPr>
        <w:t xml:space="preserve">For additional information about First Busey's operating segments,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Note 16. Operating Segments and Related Information</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Basis of Financial Statement Presentation</w:t>
      </w:r>
    </w:p>
    <w:p>
      <w:pPr>
        <w:spacing w:after="0" w:line="1" w:lineRule="exact"/>
        <w:rPr>
          <w:sz w:val="20"/>
          <w:szCs w:val="20"/>
          <w:color w:val="auto"/>
        </w:rPr>
      </w:pPr>
    </w:p>
    <w:p>
      <w:pPr>
        <w:jc w:val="both"/>
        <w:spacing w:after="0" w:line="271" w:lineRule="auto"/>
        <w:rPr>
          <w:rFonts w:ascii="Arial" w:cs="Arial" w:eastAsia="Arial" w:hAnsi="Arial"/>
          <w:sz w:val="14"/>
          <w:szCs w:val="14"/>
          <w:color w:val="0000FF"/>
        </w:rPr>
      </w:pPr>
      <w:hyperlink r:id="rId23">
        <w:r>
          <w:rPr>
            <w:rFonts w:ascii="Arial" w:cs="Arial" w:eastAsia="Arial" w:hAnsi="Arial"/>
            <w:sz w:val="14"/>
            <w:szCs w:val="14"/>
            <w:color w:val="auto"/>
          </w:rPr>
          <w:t xml:space="preserve">These unaudited consolidated financial statements and related notes should be read together with the </w:t>
        </w:r>
        <w:r>
          <w:rPr>
            <w:rFonts w:ascii="Arial" w:cs="Arial" w:eastAsia="Arial" w:hAnsi="Arial"/>
            <w:sz w:val="14"/>
            <w:szCs w:val="14"/>
            <w:u w:val="single" w:color="auto"/>
            <w:color w:val="0000FF"/>
          </w:rPr>
          <w:t>audited consolidated financial statements</w:t>
        </w:r>
        <w:r>
          <w:rPr>
            <w:rFonts w:ascii="Arial" w:cs="Arial" w:eastAsia="Arial" w:hAnsi="Arial"/>
            <w:sz w:val="14"/>
            <w:szCs w:val="14"/>
            <w:color w:val="auto"/>
          </w:rPr>
          <w:t xml:space="preserve"> included in </w:t>
        </w:r>
        <w:r>
          <w:rPr>
            <w:rFonts w:ascii="Arial" w:cs="Arial" w:eastAsia="Arial" w:hAnsi="Arial"/>
            <w:sz w:val="14"/>
            <w:szCs w:val="14"/>
            <w:u w:val="single" w:color="auto"/>
            <w:color w:val="0000FF"/>
          </w:rPr>
          <w:t>Busey's 2024 Annual</w:t>
        </w:r>
      </w:hyperlink>
      <w:r>
        <w:rPr>
          <w:rFonts w:ascii="Arial" w:cs="Arial" w:eastAsia="Arial" w:hAnsi="Arial"/>
          <w:sz w:val="14"/>
          <w:szCs w:val="14"/>
          <w:color w:val="auto"/>
        </w:rPr>
        <w:t xml:space="preserve"> </w:t>
      </w:r>
      <w:hyperlink r:id="rId23">
        <w:r>
          <w:rPr>
            <w:rFonts w:ascii="Arial" w:cs="Arial" w:eastAsia="Arial" w:hAnsi="Arial"/>
            <w:sz w:val="14"/>
            <w:szCs w:val="14"/>
            <w:u w:val="single" w:color="auto"/>
            <w:color w:val="0000FF"/>
          </w:rPr>
          <w:t>Report</w:t>
        </w:r>
        <w:r>
          <w:rPr>
            <w:rFonts w:ascii="Arial" w:cs="Arial" w:eastAsia="Arial" w:hAnsi="Arial"/>
            <w:sz w:val="14"/>
            <w:szCs w:val="14"/>
            <w:color w:val="000000"/>
          </w:rPr>
          <w:t>. These interim unaudited consolidated financial statements serve to update Busey’s 2024 Annual Report and may not include all information and notes necessary to</w:t>
        </w:r>
      </w:hyperlink>
      <w:r>
        <w:rPr>
          <w:rFonts w:ascii="Arial" w:cs="Arial" w:eastAsia="Arial" w:hAnsi="Arial"/>
          <w:sz w:val="14"/>
          <w:szCs w:val="14"/>
          <w:color w:val="0000FF"/>
        </w:rPr>
        <w:t xml:space="preserve"> </w:t>
      </w:r>
      <w:r>
        <w:rPr>
          <w:rFonts w:ascii="Arial" w:cs="Arial" w:eastAsia="Arial" w:hAnsi="Arial"/>
          <w:sz w:val="14"/>
          <w:szCs w:val="14"/>
          <w:color w:val="000000"/>
        </w:rPr>
        <w:t>constitute a complete set of financial statements.</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Busey’s unaudited consolidated financial statements are prepared in conformity with GAAP, and reflect the elimination of intercompany accounts and transactions. Certain prior year amounts have been reclassified to conform to the current period presentation. These reclassifications did not have a material impact on Busey’s consolidated financial condition or results of operations.</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the opinion of Busey’s management, the unaudited consolidated financial statements reflect all normal, recurring adjustments needed to present fairly Busey’s results for the interim periods. The results of operations for interim periods are not necessarily indicative of the results that may be expected for the full year or any other interim period.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preparing the accompanying unaudited consolidated financial statements in conformity with GAAP, Busey’s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assets acquired and liabilities assumed in business combinations, goodwill, income taxes, and the determination of the ACL.</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Cash and cash equivalents include cash on hand, cash items in process of collection, amounts due from other banks, and interest-bearing deposits held with other financial institutions. The carrying amount of these instruments is considered a reasonable estimate of fair value. At March 31, 2025, cash and cash equivalents included $10.3 million contractually restricted to a third-party service provider, $24.4 million pledged to secure obligations under derivative contracts, and $43.9 million of reserved cash subject to call by the Federal Reserve Bank, as a member of the Federal Reserve System.</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 is subject to income taxes in U.S. federal and various state jurisdictions. First Busey Corporation and its subsidiaries file consolidated federal and state income tax returns with each subsidiary computing its taxes on a separate entity basis. Tax regulations within each jurisdiction are subject to the interpretation of the related tax laws and regulations, which requires significant judgment.</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March 31, 2025, Busey Bank was under examination by the Florida Department of Revenue for its 2020 to 2022 corporate income tax filings. Busey Bank accrued $0.1 million related to potential assessment adjustments and interest. Other than this, Busey had no accruals for payments of interest and penalties related to uncertain tax positions at March 31, 2025, or 2024.</w:t>
      </w:r>
    </w:p>
    <w:p>
      <w:pPr>
        <w:spacing w:after="0" w:line="112" w:lineRule="exact"/>
        <w:rPr>
          <w:sz w:val="20"/>
          <w:szCs w:val="20"/>
          <w:color w:val="auto"/>
        </w:rPr>
      </w:pPr>
    </w:p>
    <w:p>
      <w:pPr>
        <w:ind w:right="1900"/>
        <w:spacing w:after="0" w:line="458" w:lineRule="auto"/>
        <w:rPr>
          <w:sz w:val="20"/>
          <w:szCs w:val="20"/>
          <w:color w:val="auto"/>
        </w:rPr>
      </w:pPr>
      <w:r>
        <w:rPr>
          <w:rFonts w:ascii="Arial" w:cs="Arial" w:eastAsia="Arial" w:hAnsi="Arial"/>
          <w:sz w:val="14"/>
          <w:szCs w:val="14"/>
          <w:color w:val="auto"/>
        </w:rPr>
        <w:t xml:space="preserve">As of March 31, 2025, Busey was also under examination by the Illinois Department of Revenue for M&amp;M’s tax filings for the tax years 2022 and 2023. </w:t>
      </w:r>
      <w:r>
        <w:rPr>
          <w:rFonts w:ascii="Arial" w:cs="Arial" w:eastAsia="Arial" w:hAnsi="Arial"/>
          <w:sz w:val="14"/>
          <w:szCs w:val="14"/>
          <w:b w:val="1"/>
          <w:bCs w:val="1"/>
          <w:i w:val="1"/>
          <w:iCs w:val="1"/>
          <w:color w:val="auto"/>
        </w:rPr>
        <w:t>Impact of Recently Adopted Accounting Standards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March 2024, the FASB issued ASU 2024-01 “</w:t>
      </w:r>
      <w:r>
        <w:rPr>
          <w:rFonts w:ascii="Arial" w:cs="Arial" w:eastAsia="Arial" w:hAnsi="Arial"/>
          <w:sz w:val="14"/>
          <w:szCs w:val="14"/>
          <w:i w:val="1"/>
          <w:iCs w:val="1"/>
          <w:color w:val="auto"/>
        </w:rPr>
        <w:t>Compensation-Stock Compensation (Topic 718): Scope Application of Profits Interest and Similar Awards</w:t>
      </w:r>
      <w:r>
        <w:rPr>
          <w:rFonts w:ascii="Arial" w:cs="Arial" w:eastAsia="Arial" w:hAnsi="Arial"/>
          <w:sz w:val="14"/>
          <w:szCs w:val="14"/>
          <w:color w:val="auto"/>
        </w:rPr>
        <w:t>” to clarify that certain “profits interests” are within the scope of Topic 718 by amending the language and providing illustrative examples on how the scope guidance in paragraph 718-10-15-3 should be applied. This update is intended to improve clarity of the accounting standards codification, not to change the guidance. This update was adopted on a prospective basis for annual and interim reporting periods beginning January 1, 2025. Busey does not currently have any Profit Interest and Similar Awards, so adoption of this ASU did not have any impact on its financial position and results of operations.</w:t>
      </w:r>
    </w:p>
    <w:p>
      <w:pPr>
        <w:spacing w:after="0" w:line="87"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In November 2023, the FASB issued ASU 2023</w:t>
      </w:r>
      <w:r>
        <w:rPr>
          <w:rFonts w:ascii="MS PGothic" w:cs="MS PGothic" w:eastAsia="MS PGothic" w:hAnsi="MS PGothic"/>
          <w:sz w:val="14"/>
          <w:szCs w:val="14"/>
          <w:color w:val="auto"/>
        </w:rPr>
        <w:t>‑</w:t>
      </w:r>
      <w:r>
        <w:rPr>
          <w:rFonts w:ascii="Arial" w:cs="Arial" w:eastAsia="Arial" w:hAnsi="Arial"/>
          <w:sz w:val="14"/>
          <w:szCs w:val="14"/>
          <w:color w:val="auto"/>
        </w:rPr>
        <w:t xml:space="preserve">07 </w:t>
      </w:r>
      <w:r>
        <w:rPr>
          <w:rFonts w:ascii="Arial" w:cs="Arial" w:eastAsia="Arial" w:hAnsi="Arial"/>
          <w:sz w:val="14"/>
          <w:szCs w:val="14"/>
          <w:i w:val="1"/>
          <w:iCs w:val="1"/>
          <w:color w:val="auto"/>
        </w:rPr>
        <w:t>“Segment Reporting (Topic 820): Improvements to Reportable Segment Disclosures”</w:t>
      </w:r>
      <w:r>
        <w:rPr>
          <w:rFonts w:ascii="Arial" w:cs="Arial" w:eastAsia="Arial" w:hAnsi="Arial"/>
          <w:sz w:val="14"/>
          <w:szCs w:val="14"/>
          <w:color w:val="auto"/>
        </w:rPr>
        <w:t xml:space="preserve"> requiring enhanced disclosures related to significant segment expenses. This standard was adopted on a retrospective basis beginning with the annual reporting period ending December 31, 2024, and for interim reporting periods within fiscal years starting January 1, 2025. Adoption of this standard did not have a material impact on Busey’s financial position or results of operations, but resulted in enhanced disclosures.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Standards Not Yet Adopted</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November 2024, the FASB issued ASU 2024-04 “</w:t>
      </w:r>
      <w:r>
        <w:rPr>
          <w:rFonts w:ascii="Arial" w:cs="Arial" w:eastAsia="Arial" w:hAnsi="Arial"/>
          <w:sz w:val="14"/>
          <w:szCs w:val="14"/>
          <w:i w:val="1"/>
          <w:iCs w:val="1"/>
          <w:color w:val="auto"/>
        </w:rPr>
        <w:t>Debt—Debt with Conversion and Other Options (Subtopic 470-20): Induced Conversions of Convertible Debt Instruments</w:t>
      </w:r>
      <w:r>
        <w:rPr>
          <w:rFonts w:ascii="Arial" w:cs="Arial" w:eastAsia="Arial" w:hAnsi="Arial"/>
          <w:sz w:val="14"/>
          <w:szCs w:val="14"/>
          <w:color w:val="auto"/>
        </w:rPr>
        <w:t>” to clarify when certain settlements of convertible debt instruments should be accounted for as an induced conversion. The amendments in this update may be applied on either a prospective or retrospective basis and will be effective for Busey for annual and interim reporting periods beginning January 1, 2026. Because Busey does not currently have any convertible debt, the Company does not expect adoption of this ASU to have any impact on its financial position or results of operations.</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November 2024, the FASB issued ASU 2024-03 “</w:t>
      </w:r>
      <w:r>
        <w:rPr>
          <w:rFonts w:ascii="Arial" w:cs="Arial" w:eastAsia="Arial" w:hAnsi="Arial"/>
          <w:sz w:val="14"/>
          <w:szCs w:val="14"/>
          <w:i w:val="1"/>
          <w:iCs w:val="1"/>
          <w:color w:val="auto"/>
        </w:rPr>
        <w:t>Income Statement—Reporting Comprehensive Income—Expense Disaggregation Disclosures (Subtopic 220-40):</w:t>
      </w:r>
      <w:r>
        <w:rPr>
          <w:rFonts w:ascii="Arial" w:cs="Arial" w:eastAsia="Arial" w:hAnsi="Arial"/>
          <w:sz w:val="14"/>
          <w:szCs w:val="14"/>
          <w:color w:val="auto"/>
        </w:rPr>
        <w:t xml:space="preserve"> </w:t>
      </w:r>
      <w:r>
        <w:rPr>
          <w:rFonts w:ascii="Arial" w:cs="Arial" w:eastAsia="Arial" w:hAnsi="Arial"/>
          <w:sz w:val="14"/>
          <w:szCs w:val="14"/>
          <w:i w:val="1"/>
          <w:iCs w:val="1"/>
          <w:color w:val="auto"/>
        </w:rPr>
        <w:t>Disaggregation of Income Statement Expenses</w:t>
      </w:r>
      <w:r>
        <w:rPr>
          <w:rFonts w:ascii="Arial" w:cs="Arial" w:eastAsia="Arial" w:hAnsi="Arial"/>
          <w:sz w:val="14"/>
          <w:szCs w:val="14"/>
          <w:color w:val="auto"/>
        </w:rPr>
        <w:t>” to require additional disclosures within the notes to the financial statements abut certain expense items. Specifically, disaggregation</w:t>
      </w:r>
      <w:r>
        <w:rPr>
          <w:rFonts w:ascii="Arial" w:cs="Arial" w:eastAsia="Arial" w:hAnsi="Arial"/>
          <w:sz w:val="14"/>
          <w:szCs w:val="14"/>
          <w:i w:val="1"/>
          <w:iCs w:val="1"/>
          <w:color w:val="auto"/>
        </w:rPr>
        <w:t xml:space="preserve"> </w:t>
      </w:r>
      <w:r>
        <w:rPr>
          <w:rFonts w:ascii="Arial" w:cs="Arial" w:eastAsia="Arial" w:hAnsi="Arial"/>
          <w:sz w:val="14"/>
          <w:szCs w:val="14"/>
          <w:color w:val="auto"/>
        </w:rPr>
        <w:t>of income statement captions that contain expenses within the following five categories is required: (1) purchases of inventory, (2) employee compensation, (3) depreciation,</w:t>
      </w:r>
    </w:p>
    <w:p>
      <w:pPr>
        <w:jc w:val="both"/>
        <w:ind w:firstLine="5"/>
        <w:spacing w:after="0" w:line="256" w:lineRule="auto"/>
        <w:tabs>
          <w:tab w:leader="none" w:pos="235"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intangible asset amortization, and (5) depreciation, depletion, and amortization (“DD&amp;A”) costs recognized as part of oil- and gas-producing activities or other amounts of depletion expense. Further, this update requires disclosure the total amount of selling expenses and the entity’s definition selling expenses. This update provides a practical expedient for banks and bank holding companies to continue presenting salaries and employee benefits in conformity with SEC Rule 210.9-04 instead of requiring those entities to apply the employee compensation definition included in Subtopic 220-40. The amendments in this update may be applied on either a prospective or retrospective basis and will be effective for Busey beginning with the annual reporting period ending December 31, 2027, and interim reporting periods beginning January 1, 2028. Early adoption is permitted. Because this update relates only to disclosure, Busey does not expect adoption of this ASU to have any impact on its financial position or results of operations.</w:t>
      </w:r>
    </w:p>
    <w:p>
      <w:pPr>
        <w:spacing w:after="0" w:line="81"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In December 2023, the FASB issued ASU 2023</w:t>
      </w:r>
      <w:r>
        <w:rPr>
          <w:rFonts w:ascii="MS PGothic" w:cs="MS PGothic" w:eastAsia="MS PGothic" w:hAnsi="MS PGothic"/>
          <w:sz w:val="14"/>
          <w:szCs w:val="14"/>
          <w:color w:val="auto"/>
        </w:rPr>
        <w:t>‑</w:t>
      </w:r>
      <w:r>
        <w:rPr>
          <w:rFonts w:ascii="Arial" w:cs="Arial" w:eastAsia="Arial" w:hAnsi="Arial"/>
          <w:sz w:val="14"/>
          <w:szCs w:val="14"/>
          <w:color w:val="auto"/>
        </w:rPr>
        <w:t>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which requires more detailed disclosures of income taxes paid net of refunds received, income from continuing operations before income tax expense or benefit, and income tax expense from continuing operations. This standard is to be applied on a prospective basis, with retrospective application permitted, and will be effective for Busey for annual reporting periods beginning with the fiscal year ending December 31, 2025. Busey does not expect adoption of this ASU to have a material impact on its financial position or results of operations.</w:t>
      </w:r>
    </w:p>
    <w:p>
      <w:pPr>
        <w:spacing w:after="0" w:line="103" w:lineRule="exact"/>
        <w:rPr>
          <w:sz w:val="20"/>
          <w:szCs w:val="20"/>
          <w:color w:val="auto"/>
        </w:rPr>
      </w:pPr>
    </w:p>
    <w:p>
      <w:pPr>
        <w:jc w:val="both"/>
        <w:spacing w:after="0" w:line="178" w:lineRule="exact"/>
        <w:rPr>
          <w:sz w:val="20"/>
          <w:szCs w:val="20"/>
          <w:color w:val="auto"/>
        </w:rPr>
      </w:pPr>
      <w:r>
        <w:rPr>
          <w:rFonts w:ascii="Arial" w:cs="Arial" w:eastAsia="Arial" w:hAnsi="Arial"/>
          <w:sz w:val="14"/>
          <w:szCs w:val="14"/>
          <w:color w:val="auto"/>
        </w:rPr>
        <w:t>In October 2023, the FASB issued ASU 2023</w:t>
      </w:r>
      <w:r>
        <w:rPr>
          <w:rFonts w:ascii="MS PGothic" w:cs="MS PGothic" w:eastAsia="MS PGothic" w:hAnsi="MS PGothic"/>
          <w:sz w:val="14"/>
          <w:szCs w:val="14"/>
          <w:color w:val="auto"/>
        </w:rPr>
        <w:t>‑</w:t>
      </w:r>
      <w:r>
        <w:rPr>
          <w:rFonts w:ascii="Arial" w:cs="Arial" w:eastAsia="Arial" w:hAnsi="Arial"/>
          <w:sz w:val="14"/>
          <w:szCs w:val="14"/>
          <w:color w:val="auto"/>
        </w:rPr>
        <w:t>06 “</w:t>
      </w:r>
      <w:r>
        <w:rPr>
          <w:rFonts w:ascii="Arial" w:cs="Arial" w:eastAsia="Arial" w:hAnsi="Arial"/>
          <w:sz w:val="14"/>
          <w:szCs w:val="14"/>
          <w:i w:val="1"/>
          <w:iCs w:val="1"/>
          <w:color w:val="auto"/>
        </w:rPr>
        <w:t>Disclosure Improvements: Codification Amendments in Response to the SEC’s Disclosure Update and Simplification Initiative</w:t>
      </w:r>
      <w:r>
        <w:rPr>
          <w:rFonts w:ascii="Arial" w:cs="Arial" w:eastAsia="Arial" w:hAnsi="Arial"/>
          <w:sz w:val="14"/>
          <w:szCs w:val="14"/>
          <w:color w:val="auto"/>
        </w:rPr>
        <w:t>” which aligns certain GAAP disclosure requirements with the SEC’s disclosure requirements, in order to better facilitate comparisons between entities that are subject to the SEC’s existing disclosures with entities that were not previously subject to the SEC’s requirements. Amendments in this update should be applied prospectively, and the effective date for Busey for each amendment in this ASU will be the date on which the SEC removes the related disclosure from Regulation S</w:t>
      </w:r>
      <w:r>
        <w:rPr>
          <w:rFonts w:ascii="MS PGothic" w:cs="MS PGothic" w:eastAsia="MS PGothic" w:hAnsi="MS PGothic"/>
          <w:sz w:val="14"/>
          <w:szCs w:val="14"/>
          <w:color w:val="auto"/>
        </w:rPr>
        <w:t>‑</w:t>
      </w:r>
      <w:r>
        <w:rPr>
          <w:rFonts w:ascii="Arial" w:cs="Arial" w:eastAsia="Arial" w:hAnsi="Arial"/>
          <w:sz w:val="14"/>
          <w:szCs w:val="14"/>
          <w:color w:val="auto"/>
        </w:rPr>
        <w:t>X or Regulation S</w:t>
      </w:r>
      <w:r>
        <w:rPr>
          <w:rFonts w:ascii="MS PGothic" w:cs="MS PGothic" w:eastAsia="MS PGothic" w:hAnsi="MS PGothic"/>
          <w:sz w:val="14"/>
          <w:szCs w:val="14"/>
          <w:color w:val="auto"/>
        </w:rPr>
        <w:t>‑</w:t>
      </w:r>
      <w:r>
        <w:rPr>
          <w:rFonts w:ascii="Arial" w:cs="Arial" w:eastAsia="Arial" w:hAnsi="Arial"/>
          <w:sz w:val="14"/>
          <w:szCs w:val="14"/>
          <w:color w:val="auto"/>
        </w:rPr>
        <w:t>K. Early adoption is prohibited. If the SEC has not removed the related disclosures from Regulation S</w:t>
      </w:r>
      <w:r>
        <w:rPr>
          <w:rFonts w:ascii="MS PGothic" w:cs="MS PGothic" w:eastAsia="MS PGothic" w:hAnsi="MS PGothic"/>
          <w:sz w:val="14"/>
          <w:szCs w:val="14"/>
          <w:color w:val="auto"/>
        </w:rPr>
        <w:t>‑</w:t>
      </w:r>
      <w:r>
        <w:rPr>
          <w:rFonts w:ascii="Arial" w:cs="Arial" w:eastAsia="Arial" w:hAnsi="Arial"/>
          <w:sz w:val="14"/>
          <w:szCs w:val="14"/>
          <w:color w:val="auto"/>
        </w:rPr>
        <w:t>X or Regulation S</w:t>
      </w:r>
      <w:r>
        <w:rPr>
          <w:rFonts w:ascii="MS PGothic" w:cs="MS PGothic" w:eastAsia="MS PGothic" w:hAnsi="MS PGothic"/>
          <w:sz w:val="14"/>
          <w:szCs w:val="14"/>
          <w:color w:val="auto"/>
        </w:rPr>
        <w:t>‑</w:t>
      </w:r>
      <w:r>
        <w:rPr>
          <w:rFonts w:ascii="Arial" w:cs="Arial" w:eastAsia="Arial" w:hAnsi="Arial"/>
          <w:sz w:val="14"/>
          <w:szCs w:val="14"/>
          <w:color w:val="auto"/>
        </w:rPr>
        <w:t>K by June 30, 2027, the pending content of this update will be removed from the ASC and will not become effective for any entity. Busey does not expect adoption of this ASU to have a material impact on its financial position or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Subsequent Events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Busey has evaluated subsequent events for potential recognition and/or disclosure through the date the unaudited consolidated financial statements included in this Quarterly Report were issued. On April 30, 2025, Busey issued a conditional notice of full redemption of its 5.25% fixed-to-floating rate subordinated notes, which it intends to redeem on June 1, 2025. The aggregate principal amount of the Subordinated Notes, plus accrued and unpaid interest thereon up to, but excluding, June 1, 2025, is $128.3 million. Other than this, there were no significant events subsequent to the quarter ended March 31, 2025, through the filing date of these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MERGERS AND ACQUISITIONS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CrossFirst Bankshares, Inc.</w:t>
      </w:r>
    </w:p>
    <w:p>
      <w:pPr>
        <w:spacing w:after="0" w:line="145" w:lineRule="exact"/>
        <w:rPr>
          <w:sz w:val="20"/>
          <w:szCs w:val="20"/>
          <w:color w:val="auto"/>
        </w:rPr>
      </w:pPr>
    </w:p>
    <w:p>
      <w:pPr>
        <w:jc w:val="both"/>
        <w:spacing w:after="0" w:line="262" w:lineRule="auto"/>
        <w:rPr>
          <w:rFonts w:ascii="Arial" w:cs="Arial" w:eastAsia="Arial" w:hAnsi="Arial"/>
          <w:sz w:val="14"/>
          <w:szCs w:val="14"/>
          <w:color w:val="0000FF"/>
        </w:rPr>
      </w:pPr>
      <w:hyperlink r:id="rId26">
        <w:r>
          <w:rPr>
            <w:rFonts w:ascii="Arial" w:cs="Arial" w:eastAsia="Arial" w:hAnsi="Arial"/>
            <w:sz w:val="14"/>
            <w:szCs w:val="14"/>
            <w:color w:val="auto"/>
          </w:rPr>
          <w:t xml:space="preserve">Effective March 1, 2025, Busey completed its previously announced acquisition of CrossFirst (NASDAQ: CFB), the holding company for CrossFirst Bank, pursuant to an </w:t>
        </w:r>
        <w:r>
          <w:rPr>
            <w:rFonts w:ascii="Arial" w:cs="Arial" w:eastAsia="Arial" w:hAnsi="Arial"/>
            <w:sz w:val="14"/>
            <w:szCs w:val="14"/>
            <w:u w:val="single" w:color="auto"/>
            <w:color w:val="0000FF"/>
          </w:rPr>
          <w:t>Agreement</w:t>
        </w:r>
      </w:hyperlink>
      <w:r>
        <w:rPr>
          <w:rFonts w:ascii="Arial" w:cs="Arial" w:eastAsia="Arial" w:hAnsi="Arial"/>
          <w:sz w:val="14"/>
          <w:szCs w:val="14"/>
          <w:color w:val="auto"/>
        </w:rPr>
        <w:t xml:space="preserve"> </w:t>
      </w:r>
      <w:hyperlink r:id="rId26">
        <w:r>
          <w:rPr>
            <w:rFonts w:ascii="Arial" w:cs="Arial" w:eastAsia="Arial" w:hAnsi="Arial"/>
            <w:sz w:val="14"/>
            <w:szCs w:val="14"/>
            <w:u w:val="single" w:color="auto"/>
            <w:color w:val="0000FF"/>
          </w:rPr>
          <w:t>and Plan of Merger</w:t>
        </w:r>
        <w:r>
          <w:rPr>
            <w:rFonts w:ascii="Arial" w:cs="Arial" w:eastAsia="Arial" w:hAnsi="Arial"/>
            <w:sz w:val="14"/>
            <w:szCs w:val="14"/>
            <w:color w:val="000000"/>
          </w:rPr>
          <w:t>, dated August 26, 2024, by and between Busey and CrossFirst (the “CrossFirst Merger Agreement”). This partnership creates a premier commercial bank in the</w:t>
        </w:r>
      </w:hyperlink>
      <w:r>
        <w:rPr>
          <w:rFonts w:ascii="Arial" w:cs="Arial" w:eastAsia="Arial" w:hAnsi="Arial"/>
          <w:sz w:val="14"/>
          <w:szCs w:val="14"/>
          <w:color w:val="0000FF"/>
        </w:rPr>
        <w:t xml:space="preserve"> </w:t>
      </w:r>
      <w:r>
        <w:rPr>
          <w:rFonts w:ascii="Arial" w:cs="Arial" w:eastAsia="Arial" w:hAnsi="Arial"/>
          <w:sz w:val="14"/>
          <w:szCs w:val="14"/>
          <w:color w:val="000000"/>
        </w:rPr>
        <w:t>Midwest, Southwest, and Florida, with 78 full-service locations across 10 states—Arizona, Colorado, Florida, Illinois, Indiana, Kansas, Missouri, New Mexico, Oklahoma, and Texas. The combined holding company will continue to operate under the First Busey Corporation name. Busey common stock will continue to trade on the Nasdaq under the “BUSE” stock ticker symbol.</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Merger of CrossFirst Bank into Busey Bank</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CrossFirst Bank’s results of operations were included in Busey’s consolidated results of operations beginning March 1, 2025. Following the acquisition date through the end of the reporting period, CrossFirst revenue, consisting of net interest income and noninterest income, was $24.2 million and CrossFirst net loss was $34.5 million. The net loss resulted from non-recurring acquisition expenses, including provision expense for the establishment of an ACL on acquired loans. Busey will operate CrossFirst Bank as a separate banking subsidiary until it is merged with and into Busey Bank, which is expected to occur on June 20, 2025. At the time of the bank merger, CrossFirst Bank locations will become banking centers of Busey Bank.</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CrossFirst Merger Consideration</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Upon completion of the acquisition, each share of CrossFirst common stock converted into the right to receive 0.6675 of a share of Busey’s common stock. Cash was paid in lieu of fractional shares. The fair value of common shares issued in consideration of the CrossFirst acquisition was based on the closing price of Busey’s common stock on February 28, 2025.</w:t>
      </w:r>
    </w:p>
    <w:p>
      <w:pPr>
        <w:spacing w:after="0" w:line="10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Further, upon completion of the acquisition, each share of CrossFirst Series A Non-cumulative Perpetual Preferred Stock converted to the right to receive one share of Busey Series A Non-cumulative Perpetual Preferred Stock. The fair value of Busey Series A Non-cumulative Perpetual Preferred Stock was based on the redemption price of $1,000 per share.</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total consideration paid also included the fair value of replacement equity awards related to past service totaling $ 6.0 million. Busey used a Monte Carlo simulation to estimate the fair value of SSARs and market-based awards. Other awards were valued based on Busey’s closing stock price on February 28, 2025.</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Acquisition Accounting</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CrossFirst acquisition was accounted for using the acquisition method of accounting and, accordingly, assets acquired, liabilities assumed, and consideration exchanged were recorded at estimated fair values as of March 1, 2025, the date of acquisition. Estimated fair values are considered provisional until final fair values are determined or the measurement period has passed, but no later than one year from the acquisition date. Review of all valuations and taxes are still being performed by management. Therefore, amounts are subject to change from the provisional amounts disclosed below.</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the total consideration paid for CrossFirst exceeded the estimated fair value of net assets acquired, goodwill of $51.4 million was recorded as a result of the acquisition. Goodwill recorded for this transaction reflects synergies expected from the acquisition and the greater revenue opportunities from Busey’s broader service capabilities in attractive new markets. Goodwill recorded for this transaction is not tax deductible and was assigned to the Banking operating segment.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Merchants and Manufacturers Bank Corporation</w:t>
      </w:r>
    </w:p>
    <w:p>
      <w:pPr>
        <w:spacing w:after="0" w:line="14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April 1, 2024, Busey completed its acquisition of M&amp;M and its wholly-owned subsidiary, M&amp;M Bank, through a merger transaction. This partnership added M&amp;M’s Life Equity Loan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to Busey’s existing suite of services and expanded Busey’s presence in the suburban Chicago market. M&amp;M’s results of operations were included in Busey’s results of operation beginning April 1, 2024.</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Merger of M&amp;M Bank into Busey Bank</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Busey operated M&amp;M Bank as a separate banking subsidiary of Busey until it was merged with Busey Bank on June 21, 2024. At the time of the bank merger, M&amp;M Bank’s banking centers became banking centers of Busey Bank, except for M&amp;M’s banking center located at 990 Essington Rd., Joliet, Illinois, which was closed in connection with the bank merger.</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M&amp;M Merger Consideration</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the effective time of the M&amp;M acquisition, each share of M&amp;M common stock converted to the right to receive, at the election of each stockholder and subject to proration and adjustment as provided in the M&amp;M merger agreement, either (1) $117.74 in cash (“Cash Election”), (2) 5.7294 shares of Busey common stock (“Share Election”), or (3) mixed consideration of $34.55 in cash and 4.0481 shares of Busey common stock (“Mixed Election”).</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Most of the M&amp;M common stockholders who submitted an election form by the election deadline made the Share Election to receive their merger consideration solely in the form of shares of Busey common stock. As a result of the elections of M&amp;M common stockholders, and in accordance with the proration and adjustment provisions of the M&amp;M merger agreement, the merger consideration paid to M&amp;M common stockholders was comprised of an aggregate of 1,429,304 shares of Busey common stock and an aggregate of $12.2 million in cash, allocated as follows for each share of M&amp;M stock: (1) $ 117.74 in cash for the Cash Election, (2) $5.3966 in cash and 5.4668 shares of Busey common stock for the Share Election, and (3) $34.55 in cash and 4.0481 shares of Busey common stock for the Mixed Election. Pursuant to the terms of the M&amp;M merger agreement, M&amp;M common stockholders that did not make an election or submit a properly completed election form by the election deadline of March 29, 2024, received cash consideration of $117.74 for each share of M&amp;M common stock held. No fractional shares of Busey common stock were issued in the M&amp;M acquisition. Fractional shares were paid in cash at the rate of $23.32 per share.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Additional merger consideration of $3.0 million was paid to redeem 300 shares of M&amp;M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Acquisition Accounting</w:t>
      </w:r>
    </w:p>
    <w:p>
      <w:pPr>
        <w:spacing w:after="0" w:line="1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M&amp;M acquisition was accounted for using the acquisition method of accounting and, accordingly, assets acquired, liabilities assumed, and consideration exchanged were recorded at estimated fair values on April 1, 2024, the date of acquisition. Fair values, including initial accounting for deferred taxes, were subject to refinement for up to one year after the closing date as additional information regarding the closing date fair values became available, and were final as of March 31, 2025. A final fair value adjustment of $0.1 million for deferred taxes was recorded during the three months ended March 31, 2025, in connection with the M&amp;M acquisition.</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the total consideration paid for M&amp;M exceeded the estimated fair value of net assets acquired, goodwill of $15.9 million was recorded as a result of the acquisition. Goodwill recorded for this transaction reflects synergies expected from the acquisition and expansion within the Chicago metropolitan market, and was assigned to the Banking operating segment. None of the goodwill recognized in the M&amp;M acquisition is expected to be tax deductible.</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 Date Fair Values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Acquisition-date fair values of the assets acquired and liabilities assumed, as well as the fair value of consideration transferred, were estimated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As of</w:t>
            </w: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March 1, 2025</w:t>
            </w:r>
          </w:p>
        </w:tc>
        <w:tc>
          <w:tcPr>
            <w:tcW w:w="220" w:type="dxa"/>
            <w:vAlign w:val="bottom"/>
          </w:tcPr>
          <w:p>
            <w:pPr>
              <w:spacing w:after="0"/>
              <w:rPr>
                <w:sz w:val="12"/>
                <w:szCs w:val="12"/>
                <w:color w:val="auto"/>
              </w:rPr>
            </w:pPr>
          </w:p>
        </w:tc>
        <w:tc>
          <w:tcPr>
            <w:tcW w:w="1140" w:type="dxa"/>
            <w:vAlign w:val="bottom"/>
          </w:tcPr>
          <w:p>
            <w:pPr>
              <w:jc w:val="right"/>
              <w:ind w:right="271"/>
              <w:spacing w:after="0"/>
              <w:rPr>
                <w:sz w:val="20"/>
                <w:szCs w:val="20"/>
                <w:color w:val="auto"/>
              </w:rPr>
            </w:pPr>
            <w:r>
              <w:rPr>
                <w:rFonts w:ascii="Arial" w:cs="Arial" w:eastAsia="Arial" w:hAnsi="Arial"/>
                <w:sz w:val="11"/>
                <w:szCs w:val="11"/>
                <w:b w:val="1"/>
                <w:bCs w:val="1"/>
                <w:color w:val="auto"/>
              </w:rPr>
              <w:t>April 1, 2024</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00" w:type="dxa"/>
            <w:vAlign w:val="bottom"/>
          </w:tcPr>
          <w:p>
            <w:pPr>
              <w:spacing w:after="0"/>
              <w:rPr>
                <w:sz w:val="9"/>
                <w:szCs w:val="9"/>
                <w:color w:val="auto"/>
              </w:rPr>
            </w:pPr>
          </w:p>
        </w:tc>
        <w:tc>
          <w:tcPr>
            <w:tcW w:w="1260" w:type="dxa"/>
            <w:vAlign w:val="bottom"/>
            <w:gridSpan w:val="2"/>
          </w:tcPr>
          <w:p>
            <w:pPr>
              <w:jc w:val="center"/>
              <w:ind w:right="300"/>
              <w:spacing w:after="0" w:line="113" w:lineRule="exact"/>
              <w:rPr>
                <w:sz w:val="20"/>
                <w:szCs w:val="20"/>
                <w:color w:val="auto"/>
              </w:rPr>
            </w:pPr>
            <w:r>
              <w:rPr>
                <w:rFonts w:ascii="Arial" w:cs="Arial" w:eastAsia="Arial" w:hAnsi="Arial"/>
                <w:sz w:val="11"/>
                <w:szCs w:val="11"/>
                <w:b w:val="1"/>
                <w:bCs w:val="1"/>
                <w:color w:val="auto"/>
              </w:rPr>
              <w:t>CrossFirst</w:t>
            </w:r>
          </w:p>
        </w:tc>
        <w:tc>
          <w:tcPr>
            <w:tcW w:w="220" w:type="dxa"/>
            <w:vAlign w:val="bottom"/>
          </w:tcPr>
          <w:p>
            <w:pPr>
              <w:spacing w:after="0"/>
              <w:rPr>
                <w:sz w:val="9"/>
                <w:szCs w:val="9"/>
                <w:color w:val="auto"/>
              </w:rPr>
            </w:pPr>
          </w:p>
        </w:tc>
        <w:tc>
          <w:tcPr>
            <w:tcW w:w="1140" w:type="dxa"/>
            <w:vAlign w:val="bottom"/>
          </w:tcPr>
          <w:p>
            <w:pPr>
              <w:jc w:val="right"/>
              <w:ind w:right="471"/>
              <w:spacing w:after="0" w:line="113" w:lineRule="exact"/>
              <w:rPr>
                <w:sz w:val="20"/>
                <w:szCs w:val="20"/>
                <w:color w:val="auto"/>
              </w:rPr>
            </w:pPr>
            <w:r>
              <w:rPr>
                <w:rFonts w:ascii="Arial" w:cs="Arial" w:eastAsia="Arial" w:hAnsi="Arial"/>
                <w:sz w:val="11"/>
                <w:szCs w:val="11"/>
                <w:b w:val="1"/>
                <w:bCs w:val="1"/>
                <w:color w:val="auto"/>
              </w:rPr>
              <w:t>M&amp;M</w:t>
            </w:r>
          </w:p>
        </w:tc>
        <w:tc>
          <w:tcPr>
            <w:tcW w:w="0" w:type="dxa"/>
            <w:vAlign w:val="bottom"/>
          </w:tcPr>
          <w:p>
            <w:pPr>
              <w:spacing w:after="0"/>
              <w:rPr>
                <w:sz w:val="1"/>
                <w:szCs w:val="1"/>
                <w:color w:val="auto"/>
              </w:rPr>
            </w:pPr>
          </w:p>
        </w:tc>
      </w:tr>
      <w:tr>
        <w:trPr>
          <w:trHeight w:val="138"/>
        </w:trPr>
        <w:tc>
          <w:tcPr>
            <w:tcW w:w="84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1"/>
                <w:szCs w:val="11"/>
                <w:i w:val="1"/>
                <w:iCs w:val="1"/>
                <w:color w:val="auto"/>
              </w:rPr>
              <w:t>(provisional)</w:t>
            </w:r>
          </w:p>
        </w:tc>
        <w:tc>
          <w:tcPr>
            <w:tcW w:w="220" w:type="dxa"/>
            <w:vAlign w:val="bottom"/>
          </w:tcPr>
          <w:p>
            <w:pPr>
              <w:spacing w:after="0"/>
              <w:rPr>
                <w:sz w:val="11"/>
                <w:szCs w:val="11"/>
                <w:color w:val="auto"/>
              </w:rPr>
            </w:pPr>
          </w:p>
        </w:tc>
        <w:tc>
          <w:tcPr>
            <w:tcW w:w="1140" w:type="dxa"/>
            <w:vAlign w:val="bottom"/>
          </w:tcPr>
          <w:p>
            <w:pPr>
              <w:jc w:val="right"/>
              <w:ind w:right="471"/>
              <w:spacing w:after="0"/>
              <w:rPr>
                <w:sz w:val="20"/>
                <w:szCs w:val="20"/>
                <w:color w:val="auto"/>
              </w:rPr>
            </w:pPr>
            <w:r>
              <w:rPr>
                <w:rFonts w:ascii="Arial" w:cs="Arial" w:eastAsia="Arial" w:hAnsi="Arial"/>
                <w:sz w:val="11"/>
                <w:szCs w:val="11"/>
                <w:i w:val="1"/>
                <w:iCs w:val="1"/>
                <w:color w:val="auto"/>
              </w:rPr>
              <w:t>(final)</w:t>
            </w:r>
          </w:p>
        </w:tc>
        <w:tc>
          <w:tcPr>
            <w:tcW w:w="0" w:type="dxa"/>
            <w:vAlign w:val="bottom"/>
          </w:tcPr>
          <w:p>
            <w:pPr>
              <w:spacing w:after="0"/>
              <w:rPr>
                <w:sz w:val="1"/>
                <w:szCs w:val="1"/>
                <w:color w:val="auto"/>
              </w:rPr>
            </w:pPr>
          </w:p>
        </w:tc>
      </w:tr>
      <w:tr>
        <w:trPr>
          <w:trHeight w:val="192"/>
        </w:trPr>
        <w:tc>
          <w:tcPr>
            <w:tcW w:w="84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Assets acquired</w:t>
            </w:r>
          </w:p>
        </w:tc>
        <w:tc>
          <w:tcPr>
            <w:tcW w:w="200" w:type="dxa"/>
            <w:vAlign w:val="bottom"/>
            <w:tcBorders>
              <w:top w:val="single" w:sz="8" w:color="auto"/>
            </w:tcBorders>
            <w:shd w:val="clear" w:color="auto" w:fill="E0E7ED"/>
          </w:tcPr>
          <w:p>
            <w:pPr>
              <w:spacing w:after="0"/>
              <w:rPr>
                <w:sz w:val="16"/>
                <w:szCs w:val="16"/>
                <w:color w:val="auto"/>
              </w:rPr>
            </w:pPr>
          </w:p>
        </w:tc>
        <w:tc>
          <w:tcPr>
            <w:tcW w:w="116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385,808</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33,577</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Securities</w:t>
            </w: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725,622</w:t>
            </w: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8,086</w:t>
            </w: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Portfolio loans, net of ACL</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6,022,347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417,230</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Premises and equipment</w:t>
            </w: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64,249</w:t>
            </w: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Right of use assets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30,723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Other intangible assets</w:t>
            </w: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81,783</w:t>
            </w: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6,346</w:t>
            </w:r>
          </w:p>
        </w:tc>
        <w:tc>
          <w:tcPr>
            <w:tcW w:w="0" w:type="dxa"/>
            <w:vAlign w:val="bottom"/>
          </w:tcPr>
          <w:p>
            <w:pPr>
              <w:spacing w:after="0"/>
              <w:rPr>
                <w:sz w:val="1"/>
                <w:szCs w:val="1"/>
                <w:color w:val="auto"/>
              </w:rPr>
            </w:pPr>
          </w:p>
        </w:tc>
      </w:tr>
      <w:tr>
        <w:trPr>
          <w:trHeight w:val="203"/>
        </w:trPr>
        <w:tc>
          <w:tcPr>
            <w:tcW w:w="8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186,994</w:t>
            </w:r>
          </w:p>
        </w:tc>
        <w:tc>
          <w:tcPr>
            <w:tcW w:w="10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10,208</w:t>
            </w:r>
          </w:p>
        </w:tc>
        <w:tc>
          <w:tcPr>
            <w:tcW w:w="0" w:type="dxa"/>
            <w:vAlign w:val="bottom"/>
          </w:tcPr>
          <w:p>
            <w:pPr>
              <w:spacing w:after="0"/>
              <w:rPr>
                <w:sz w:val="1"/>
                <w:szCs w:val="1"/>
                <w:color w:val="auto"/>
              </w:rPr>
            </w:pPr>
          </w:p>
        </w:tc>
      </w:tr>
      <w:tr>
        <w:trPr>
          <w:trHeight w:val="203"/>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assets acquired</w:t>
            </w:r>
          </w:p>
        </w:tc>
        <w:tc>
          <w:tcPr>
            <w:tcW w:w="200" w:type="dxa"/>
            <w:vAlign w:val="bottom"/>
            <w:tcBorders>
              <w:bottom w:val="single" w:sz="8" w:color="auto"/>
            </w:tcBorders>
            <w:shd w:val="clear" w:color="auto" w:fill="E0E7ED"/>
          </w:tcPr>
          <w:p>
            <w:pPr>
              <w:spacing w:after="0"/>
              <w:rPr>
                <w:sz w:val="17"/>
                <w:szCs w:val="17"/>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7,497,526</w:t>
            </w:r>
          </w:p>
        </w:tc>
        <w:tc>
          <w:tcPr>
            <w:tcW w:w="100" w:type="dxa"/>
            <w:vAlign w:val="bottom"/>
            <w:shd w:val="clear" w:color="auto" w:fill="E0E7ED"/>
          </w:tcPr>
          <w:p>
            <w:pPr>
              <w:spacing w:after="0"/>
              <w:rPr>
                <w:sz w:val="17"/>
                <w:szCs w:val="17"/>
                <w:color w:val="auto"/>
              </w:rPr>
            </w:pPr>
          </w:p>
        </w:tc>
        <w:tc>
          <w:tcPr>
            <w:tcW w:w="220" w:type="dxa"/>
            <w:vAlign w:val="bottom"/>
            <w:tcBorders>
              <w:bottom w:val="single" w:sz="8" w:color="auto"/>
            </w:tcBorders>
            <w:shd w:val="clear" w:color="auto" w:fill="E0E7ED"/>
          </w:tcPr>
          <w:p>
            <w:pPr>
              <w:spacing w:after="0"/>
              <w:rPr>
                <w:sz w:val="17"/>
                <w:szCs w:val="17"/>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477,745</w:t>
            </w:r>
          </w:p>
        </w:tc>
        <w:tc>
          <w:tcPr>
            <w:tcW w:w="0" w:type="dxa"/>
            <w:vAlign w:val="bottom"/>
          </w:tcPr>
          <w:p>
            <w:pPr>
              <w:spacing w:after="0"/>
              <w:rPr>
                <w:sz w:val="1"/>
                <w:szCs w:val="1"/>
                <w:color w:val="auto"/>
              </w:rPr>
            </w:pPr>
          </w:p>
        </w:tc>
      </w:tr>
      <w:tr>
        <w:trPr>
          <w:trHeight w:val="202"/>
        </w:trPr>
        <w:tc>
          <w:tcPr>
            <w:tcW w:w="8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Liabilities assumed</w:t>
            </w: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Deposits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6,571,699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392,838</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Short-term borrowings</w:t>
            </w: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11,209</w:t>
            </w: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35,932</w:t>
            </w: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Long-term debt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61,780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Subordinated notes, net of unamortized issuance costs</w:t>
            </w:r>
          </w:p>
        </w:tc>
        <w:tc>
          <w:tcPr>
            <w:tcW w:w="200" w:type="dxa"/>
            <w:vAlign w:val="bottom"/>
            <w:shd w:val="clear" w:color="auto" w:fill="E0E7ED"/>
          </w:tcPr>
          <w:p>
            <w:pPr>
              <w:spacing w:after="0"/>
              <w:rPr>
                <w:sz w:val="19"/>
                <w:szCs w:val="19"/>
                <w:color w:val="auto"/>
              </w:rPr>
            </w:pPr>
          </w:p>
        </w:tc>
        <w:tc>
          <w:tcPr>
            <w:tcW w:w="12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3,911</w:t>
            </w: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Junior subordinated debt owed to unconsolidated trusts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2,594</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Lease liabilities</w:t>
            </w: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30,723</w:t>
            </w: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3"/>
        </w:trPr>
        <w:tc>
          <w:tcPr>
            <w:tcW w:w="8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62,266</w:t>
            </w:r>
          </w:p>
        </w:tc>
        <w:tc>
          <w:tcPr>
            <w:tcW w:w="10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7,089</w:t>
            </w:r>
          </w:p>
        </w:tc>
        <w:tc>
          <w:tcPr>
            <w:tcW w:w="0" w:type="dxa"/>
            <w:vAlign w:val="bottom"/>
          </w:tcPr>
          <w:p>
            <w:pPr>
              <w:spacing w:after="0"/>
              <w:rPr>
                <w:sz w:val="1"/>
                <w:szCs w:val="1"/>
                <w:color w:val="auto"/>
              </w:rPr>
            </w:pPr>
          </w:p>
        </w:tc>
      </w:tr>
      <w:tr>
        <w:trPr>
          <w:trHeight w:val="203"/>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liabilities assumed</w:t>
            </w:r>
          </w:p>
        </w:tc>
        <w:tc>
          <w:tcPr>
            <w:tcW w:w="200" w:type="dxa"/>
            <w:vAlign w:val="bottom"/>
            <w:tcBorders>
              <w:bottom w:val="single" w:sz="8" w:color="auto"/>
            </w:tcBorders>
            <w:shd w:val="clear" w:color="auto" w:fill="E0E7ED"/>
          </w:tcPr>
          <w:p>
            <w:pPr>
              <w:spacing w:after="0"/>
              <w:rPr>
                <w:sz w:val="17"/>
                <w:szCs w:val="17"/>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6,739,915</w:t>
            </w:r>
          </w:p>
        </w:tc>
        <w:tc>
          <w:tcPr>
            <w:tcW w:w="100" w:type="dxa"/>
            <w:vAlign w:val="bottom"/>
            <w:shd w:val="clear" w:color="auto" w:fill="E0E7ED"/>
          </w:tcPr>
          <w:p>
            <w:pPr>
              <w:spacing w:after="0"/>
              <w:rPr>
                <w:sz w:val="17"/>
                <w:szCs w:val="17"/>
                <w:color w:val="auto"/>
              </w:rPr>
            </w:pPr>
          </w:p>
        </w:tc>
        <w:tc>
          <w:tcPr>
            <w:tcW w:w="220" w:type="dxa"/>
            <w:vAlign w:val="bottom"/>
            <w:tcBorders>
              <w:bottom w:val="single" w:sz="8" w:color="auto"/>
            </w:tcBorders>
            <w:shd w:val="clear" w:color="auto" w:fill="E0E7ED"/>
          </w:tcPr>
          <w:p>
            <w:pPr>
              <w:spacing w:after="0"/>
              <w:rPr>
                <w:sz w:val="17"/>
                <w:szCs w:val="17"/>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444,067</w:t>
            </w:r>
          </w:p>
        </w:tc>
        <w:tc>
          <w:tcPr>
            <w:tcW w:w="0" w:type="dxa"/>
            <w:vAlign w:val="bottom"/>
          </w:tcPr>
          <w:p>
            <w:pPr>
              <w:spacing w:after="0"/>
              <w:rPr>
                <w:sz w:val="1"/>
                <w:szCs w:val="1"/>
                <w:color w:val="auto"/>
              </w:rPr>
            </w:pPr>
          </w:p>
        </w:tc>
      </w:tr>
      <w:tr>
        <w:trPr>
          <w:trHeight w:val="202"/>
        </w:trPr>
        <w:tc>
          <w:tcPr>
            <w:tcW w:w="8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Net assets acquired</w:t>
            </w:r>
          </w:p>
        </w:tc>
        <w:tc>
          <w:tcPr>
            <w:tcW w:w="200" w:type="dxa"/>
            <w:vAlign w:val="bottom"/>
            <w:tcBorders>
              <w:bottom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757,611</w:t>
            </w: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shd w:val="clear" w:color="auto" w:fill="E0E7ED"/>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33,678</w:t>
            </w:r>
          </w:p>
        </w:tc>
        <w:tc>
          <w:tcPr>
            <w:tcW w:w="0" w:type="dxa"/>
            <w:vAlign w:val="bottom"/>
          </w:tcPr>
          <w:p>
            <w:pPr>
              <w:spacing w:after="0"/>
              <w:rPr>
                <w:sz w:val="1"/>
                <w:szCs w:val="1"/>
                <w:color w:val="auto"/>
              </w:rPr>
            </w:pPr>
          </w:p>
        </w:tc>
      </w:tr>
      <w:tr>
        <w:trPr>
          <w:trHeight w:val="20"/>
        </w:trPr>
        <w:tc>
          <w:tcPr>
            <w:tcW w:w="84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Consideration paid</w:t>
            </w: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Cash</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15,200</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Common stock</w:t>
            </w: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795,227</w:t>
            </w: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34,375</w:t>
            </w: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Replacement awards</w:t>
            </w:r>
            <w:r>
              <w:rPr>
                <w:rFonts w:ascii="Arial" w:cs="Arial" w:eastAsia="Arial" w:hAnsi="Arial"/>
                <w:sz w:val="18"/>
                <w:szCs w:val="18"/>
                <w:color w:val="auto"/>
                <w:vertAlign w:val="superscript"/>
              </w:rPr>
              <w:t>1</w:t>
            </w:r>
          </w:p>
        </w:tc>
        <w:tc>
          <w:tcPr>
            <w:tcW w:w="200" w:type="dxa"/>
            <w:vAlign w:val="bottom"/>
            <w:tcBorders>
              <w:bottom w:val="single" w:sz="8" w:color="auto"/>
            </w:tcBorders>
            <w:shd w:val="clear" w:color="auto" w:fill="E0E7ED"/>
          </w:tcPr>
          <w:p>
            <w:pPr>
              <w:spacing w:after="0"/>
              <w:rPr>
                <w:sz w:val="19"/>
                <w:szCs w:val="19"/>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5,999</w:t>
            </w:r>
          </w:p>
        </w:tc>
        <w:tc>
          <w:tcPr>
            <w:tcW w:w="100" w:type="dxa"/>
            <w:vAlign w:val="bottom"/>
            <w:shd w:val="clear" w:color="auto" w:fill="E0E7ED"/>
          </w:tcPr>
          <w:p>
            <w:pPr>
              <w:spacing w:after="0"/>
              <w:rPr>
                <w:sz w:val="19"/>
                <w:szCs w:val="19"/>
                <w:color w:val="auto"/>
              </w:rPr>
            </w:pPr>
          </w:p>
        </w:tc>
        <w:tc>
          <w:tcPr>
            <w:tcW w:w="220" w:type="dxa"/>
            <w:vAlign w:val="bottom"/>
            <w:tcBorders>
              <w:bottom w:val="single" w:sz="8" w:color="auto"/>
            </w:tcBorders>
            <w:shd w:val="clear" w:color="auto" w:fill="E0E7ED"/>
          </w:tcPr>
          <w:p>
            <w:pPr>
              <w:spacing w:after="0"/>
              <w:rPr>
                <w:sz w:val="19"/>
                <w:szCs w:val="19"/>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60" w:type="dxa"/>
            <w:vAlign w:val="bottom"/>
          </w:tcPr>
          <w:p>
            <w:pPr>
              <w:ind w:left="20"/>
              <w:spacing w:after="0"/>
              <w:rPr>
                <w:sz w:val="20"/>
                <w:szCs w:val="20"/>
                <w:color w:val="auto"/>
              </w:rPr>
            </w:pPr>
            <w:r>
              <w:rPr>
                <w:rFonts w:ascii="Arial" w:cs="Arial" w:eastAsia="Arial" w:hAnsi="Arial"/>
                <w:sz w:val="14"/>
                <w:szCs w:val="14"/>
                <w:color w:val="auto"/>
              </w:rPr>
              <w:t>Total consideration paid</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808,980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49,575</w:t>
            </w:r>
          </w:p>
        </w:tc>
        <w:tc>
          <w:tcPr>
            <w:tcW w:w="0" w:type="dxa"/>
            <w:vAlign w:val="bottom"/>
          </w:tcPr>
          <w:p>
            <w:pPr>
              <w:spacing w:after="0"/>
              <w:rPr>
                <w:sz w:val="1"/>
                <w:szCs w:val="1"/>
                <w:color w:val="auto"/>
              </w:rPr>
            </w:pPr>
          </w:p>
        </w:tc>
      </w:tr>
      <w:tr>
        <w:trPr>
          <w:trHeight w:val="20"/>
        </w:trPr>
        <w:tc>
          <w:tcPr>
            <w:tcW w:w="846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6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b w:val="1"/>
                <w:bCs w:val="1"/>
                <w:color w:val="auto"/>
              </w:rPr>
              <w:t>Goodwill</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51,369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15,897</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4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0" w:hanging="268"/>
        <w:spacing w:after="0"/>
        <w:tabs>
          <w:tab w:leader="none" w:pos="40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value of replacement awards related to past service.</w:t>
      </w:r>
    </w:p>
    <w:p>
      <w:pPr>
        <w:spacing w:after="0" w:line="322" w:lineRule="exact"/>
        <w:rPr>
          <w:sz w:val="20"/>
          <w:szCs w:val="20"/>
          <w:color w:val="auto"/>
        </w:rPr>
      </w:pPr>
    </w:p>
    <w:p>
      <w:pPr>
        <w:ind w:left="9000"/>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Loans Valuations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Estimated fair values for the loan portfolio acquired in the CrossFirst acquisition includes adjustments to certain receivables that were not considered impaired as of the acquisition date. These fair value adjustments were determined using a discounted cash flow model that applies various assumptions about coupon rates, remaining maturities, prepayment speeds, projected default probabilities, losses given defaults, and estimates of prevailing discount rates. Busey believes that all contractual cash flows related to these financial instruments will be collected. As such, these receivables were not considered impaired at the acquisition date and were not subject to the guidance related to PCD loans. Receivables acquired in the CrossFirst acquisition that were not subject to these requirements include non-PCD loans and customer receivables with a fair value of $4.70 billion and gross contractual amounts receivable of $4.79 billion.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A portion of acquired loans were PCD. The following table provides a reconciliation between the purchase price and the fair value of these loans: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As of</w:t>
            </w:r>
          </w:p>
        </w:tc>
        <w:tc>
          <w:tcPr>
            <w:tcW w:w="1140" w:type="dxa"/>
            <w:vAlign w:val="bottom"/>
            <w:tcBorders>
              <w:bottom w:val="single" w:sz="8" w:color="auto"/>
            </w:tcBorders>
          </w:tcPr>
          <w:p>
            <w:pPr>
              <w:spacing w:after="0"/>
              <w:rPr>
                <w:sz w:val="12"/>
                <w:szCs w:val="12"/>
                <w:color w:val="auto"/>
              </w:rPr>
            </w:pPr>
          </w:p>
        </w:tc>
      </w:tr>
      <w:tr>
        <w:trPr>
          <w:trHeight w:val="143"/>
        </w:trPr>
        <w:tc>
          <w:tcPr>
            <w:tcW w:w="8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March 1, 2025</w:t>
            </w:r>
          </w:p>
        </w:tc>
        <w:tc>
          <w:tcPr>
            <w:tcW w:w="220" w:type="dxa"/>
            <w:vAlign w:val="bottom"/>
          </w:tcPr>
          <w:p>
            <w:pPr>
              <w:spacing w:after="0"/>
              <w:rPr>
                <w:sz w:val="12"/>
                <w:szCs w:val="12"/>
                <w:color w:val="auto"/>
              </w:rPr>
            </w:pPr>
          </w:p>
        </w:tc>
        <w:tc>
          <w:tcPr>
            <w:tcW w:w="1140" w:type="dxa"/>
            <w:vAlign w:val="bottom"/>
          </w:tcPr>
          <w:p>
            <w:pPr>
              <w:jc w:val="right"/>
              <w:ind w:right="274"/>
              <w:spacing w:after="0"/>
              <w:rPr>
                <w:sz w:val="20"/>
                <w:szCs w:val="20"/>
                <w:color w:val="auto"/>
              </w:rPr>
            </w:pPr>
            <w:r>
              <w:rPr>
                <w:rFonts w:ascii="Arial" w:cs="Arial" w:eastAsia="Arial" w:hAnsi="Arial"/>
                <w:sz w:val="11"/>
                <w:szCs w:val="11"/>
                <w:b w:val="1"/>
                <w:bCs w:val="1"/>
                <w:color w:val="auto"/>
              </w:rPr>
              <w:t>April 1, 2024</w:t>
            </w:r>
          </w:p>
        </w:tc>
      </w:tr>
      <w:tr>
        <w:trPr>
          <w:trHeight w:val="144"/>
        </w:trPr>
        <w:tc>
          <w:tcPr>
            <w:tcW w:w="84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CrossFirst</w:t>
            </w:r>
          </w:p>
        </w:tc>
        <w:tc>
          <w:tcPr>
            <w:tcW w:w="220" w:type="dxa"/>
            <w:vAlign w:val="bottom"/>
          </w:tcPr>
          <w:p>
            <w:pPr>
              <w:spacing w:after="0"/>
              <w:rPr>
                <w:sz w:val="12"/>
                <w:szCs w:val="12"/>
                <w:color w:val="auto"/>
              </w:rPr>
            </w:pPr>
          </w:p>
        </w:tc>
        <w:tc>
          <w:tcPr>
            <w:tcW w:w="1140" w:type="dxa"/>
            <w:vAlign w:val="bottom"/>
          </w:tcPr>
          <w:p>
            <w:pPr>
              <w:jc w:val="right"/>
              <w:ind w:right="474"/>
              <w:spacing w:after="0"/>
              <w:rPr>
                <w:sz w:val="20"/>
                <w:szCs w:val="20"/>
                <w:color w:val="auto"/>
              </w:rPr>
            </w:pPr>
            <w:r>
              <w:rPr>
                <w:rFonts w:ascii="Arial" w:cs="Arial" w:eastAsia="Arial" w:hAnsi="Arial"/>
                <w:sz w:val="11"/>
                <w:szCs w:val="11"/>
                <w:b w:val="1"/>
                <w:bCs w:val="1"/>
                <w:color w:val="auto"/>
              </w:rPr>
              <w:t>M&amp;M</w:t>
            </w:r>
          </w:p>
        </w:tc>
      </w:tr>
      <w:tr>
        <w:trPr>
          <w:trHeight w:val="192"/>
        </w:trPr>
        <w:tc>
          <w:tcPr>
            <w:tcW w:w="84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PCD Financial Assets</w:t>
            </w:r>
          </w:p>
        </w:tc>
        <w:tc>
          <w:tcPr>
            <w:tcW w:w="200" w:type="dxa"/>
            <w:vAlign w:val="bottom"/>
            <w:tcBorders>
              <w:top w:val="single" w:sz="8" w:color="auto"/>
            </w:tcBorders>
            <w:shd w:val="clear" w:color="auto" w:fill="E0E7ED"/>
          </w:tcPr>
          <w:p>
            <w:pPr>
              <w:spacing w:after="0"/>
              <w:rPr>
                <w:sz w:val="16"/>
                <w:szCs w:val="16"/>
                <w:color w:val="auto"/>
              </w:rPr>
            </w:pPr>
          </w:p>
        </w:tc>
        <w:tc>
          <w:tcPr>
            <w:tcW w:w="116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Gross contractual receivable for PCD financial assets</w:t>
            </w:r>
            <w:r>
              <w:rPr>
                <w:rFonts w:ascii="Arial" w:cs="Arial" w:eastAsia="Arial" w:hAnsi="Arial"/>
                <w:sz w:val="18"/>
                <w:szCs w:val="18"/>
                <w:color w:val="auto"/>
                <w:vertAlign w:val="superscript"/>
              </w:rPr>
              <w:t>1</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1,428,978</w:t>
            </w:r>
          </w:p>
        </w:tc>
        <w:tc>
          <w:tcPr>
            <w:tcW w:w="100" w:type="dxa"/>
            <w:vAlign w:val="bottom"/>
          </w:tcPr>
          <w:p>
            <w:pPr>
              <w:spacing w:after="0"/>
              <w:rPr>
                <w:sz w:val="18"/>
                <w:szCs w:val="18"/>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29,290</w:t>
            </w:r>
          </w:p>
        </w:tc>
      </w:tr>
      <w:tr>
        <w:trPr>
          <w:trHeight w:val="21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ACL recorded for estimated uncollectible contractual cash flows specific to PCD financial assets</w:t>
            </w: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(100,783)</w:t>
            </w:r>
          </w:p>
        </w:tc>
        <w:tc>
          <w:tcPr>
            <w:tcW w:w="10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(1,243)</w:t>
            </w:r>
          </w:p>
        </w:tc>
      </w:tr>
      <w:tr>
        <w:trPr>
          <w:trHeight w:val="203"/>
        </w:trPr>
        <w:tc>
          <w:tcPr>
            <w:tcW w:w="8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Interest premium (discount) specific to PCD financial assets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(3,063)</w:t>
            </w:r>
          </w:p>
        </w:tc>
        <w:tc>
          <w:tcPr>
            <w:tcW w:w="10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w:t>
            </w:r>
          </w:p>
        </w:tc>
      </w:tr>
      <w:tr>
        <w:trPr>
          <w:trHeight w:val="237"/>
        </w:trPr>
        <w:tc>
          <w:tcPr>
            <w:tcW w:w="8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Fair value of PCD financial assets</w:t>
            </w:r>
          </w:p>
        </w:tc>
        <w:tc>
          <w:tcPr>
            <w:tcW w:w="200" w:type="dxa"/>
            <w:vAlign w:val="bottom"/>
            <w:tcBorders>
              <w:bottom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1,325,132</w:t>
            </w: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shd w:val="clear" w:color="auto" w:fill="E0E7ED"/>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26,274</w:t>
            </w:r>
          </w:p>
        </w:tc>
      </w:tr>
      <w:tr>
        <w:trPr>
          <w:trHeight w:val="20"/>
        </w:trPr>
        <w:tc>
          <w:tcPr>
            <w:tcW w:w="84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11" w:lineRule="exact"/>
        <w:rPr>
          <w:sz w:val="20"/>
          <w:szCs w:val="20"/>
          <w:color w:val="auto"/>
        </w:rPr>
      </w:pPr>
    </w:p>
    <w:p>
      <w:pPr>
        <w:ind w:left="400" w:hanging="268"/>
        <w:spacing w:after="0"/>
        <w:tabs>
          <w:tab w:leader="none" w:pos="40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 connection with the CrossFirst acquisition, Busey also acquired $110.7 million of previously charged-off principal in addition to the PCD assets listed above.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 Forma Results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 following unaudited pro forma information has been prepared as if the CrossFirst acquisition had occurred on January 1, 2024, and as if the M&amp;M acquisition had occurred January 1, 2023. The pro forma results combine the historical results of CrossFirst and M&amp;M into Busey’s </w:t>
      </w:r>
      <w:r>
        <w:rPr>
          <w:rFonts w:ascii="Arial" w:cs="Arial" w:eastAsia="Arial" w:hAnsi="Arial"/>
          <w:sz w:val="14"/>
          <w:szCs w:val="14"/>
          <w:u w:val="single" w:color="auto"/>
          <w:color w:val="0000FF"/>
        </w:rPr>
        <w:t>Consolidated Statements of Income (Unaudited)</w:t>
      </w:r>
      <w:r>
        <w:rPr>
          <w:rFonts w:ascii="Arial" w:cs="Arial" w:eastAsia="Arial" w:hAnsi="Arial"/>
          <w:sz w:val="14"/>
          <w:szCs w:val="14"/>
          <w:color w:val="auto"/>
        </w:rPr>
        <w:t>, including the impact of purchase accounting adjustments such as loan discount accretion, intangible assets amortization, and deposit accretion, net of taxes. The pro forma results have been prepared for comparative purposes only and are not necessarily indicative of the results that would have been obtained had the acquisitions actually occurred on January 1, 2024, or on January 1, 2023, as applicable. Further, pro forma information does not purport to be indicative of future financial operating results. No assumptions have been applied to the pro forma results of operations regarding possible revenue enhancements, expense efficiencies, or asset dispositions. Only the merger related expenses that have been recognized are included in net income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2024</w:t>
            </w:r>
          </w:p>
        </w:tc>
      </w:tr>
      <w:tr>
        <w:trPr>
          <w:trHeight w:val="203"/>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Revenue (net interest income plus noninterest income)</w:t>
            </w:r>
          </w:p>
        </w:tc>
        <w:tc>
          <w:tcPr>
            <w:tcW w:w="320" w:type="dxa"/>
            <w:vAlign w:val="bottom"/>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179,594</w:t>
            </w: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197,213</w:t>
            </w:r>
          </w:p>
        </w:tc>
      </w:tr>
      <w:tr>
        <w:trPr>
          <w:trHeight w:val="193"/>
        </w:trPr>
        <w:tc>
          <w:tcPr>
            <w:tcW w:w="8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20,164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11,054</w:t>
            </w:r>
          </w:p>
        </w:tc>
      </w:tr>
    </w:tbl>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Acquisition Costs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Busey incurred acquisition related expenses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2024</w:t>
            </w: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Pre-tax acquisition expenses</w:t>
            </w: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M&amp;M</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CrossFirst</w:t>
            </w: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71,490</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Pre-tax acquisition expenses</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71,598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Acquisition related expenses for CrossFirst were comprised primarily of an initial provision to establish an ACL on non-PCD loans (recorded as provision expense), and multiple components of noninterest expense including an initial provision for unfunded commitments; salaries, wages and employee benefits (including equity compensation); data processing; and legal, professional, and consulting costs. Acquisition related expenses for M&amp;M were comprised primarily of professional fees and data processing costs.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Of the total acquisition related expenses, the following legal, professional, and consulting costs were incurred to consummate the mergers: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2024</w:t>
            </w: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Pre-tax costs to consummate the merger</w:t>
            </w: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M&amp;M</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CrossFirst</w:t>
            </w: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7,144</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Pre-tax costs to consummate the merger</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DEBT SECURITIES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Busey's portfolio of debt securities includes both available for sale and held to maturity securities. The tables below provide the amortized cost, unrealized or unrecognized gains and losses, and fair values of debt securities summarized by major category: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1"/>
                <w:szCs w:val="11"/>
                <w:b w:val="1"/>
                <w:bCs w:val="1"/>
                <w:color w:val="auto"/>
              </w:rPr>
              <w:t>As of March 31, 2025</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vMerge w:val="restart"/>
          </w:tcPr>
          <w:p>
            <w:pPr>
              <w:jc w:val="center"/>
              <w:ind w:right="320"/>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1"/>
                <w:szCs w:val="11"/>
                <w:b w:val="1"/>
                <w:bCs w:val="1"/>
                <w:color w:val="auto"/>
              </w:rPr>
              <w:t>Unrealized</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center"/>
              <w:ind w:right="233"/>
              <w:spacing w:after="0"/>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44"/>
        </w:trPr>
        <w:tc>
          <w:tcPr>
            <w:tcW w:w="55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Gross Gains</w:t>
            </w:r>
          </w:p>
        </w:tc>
        <w:tc>
          <w:tcPr>
            <w:tcW w:w="280" w:type="dxa"/>
            <w:vAlign w:val="bottom"/>
          </w:tcPr>
          <w:p>
            <w:pPr>
              <w:spacing w:after="0"/>
              <w:rPr>
                <w:sz w:val="3"/>
                <w:szCs w:val="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Gross Losses</w:t>
            </w:r>
          </w:p>
        </w:tc>
        <w:tc>
          <w:tcPr>
            <w:tcW w:w="3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5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7"/>
              </w:rPr>
              <w:t>Cost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33"/>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92"/>
        </w:trPr>
        <w:tc>
          <w:tcPr>
            <w:tcW w:w="55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Debt securities available for sale</w:t>
            </w:r>
          </w:p>
        </w:tc>
        <w:tc>
          <w:tcPr>
            <w:tcW w:w="240" w:type="dxa"/>
            <w:vAlign w:val="bottom"/>
            <w:tcBorders>
              <w:top w:val="single" w:sz="8" w:color="auto"/>
            </w:tcBorders>
            <w:shd w:val="clear" w:color="auto" w:fill="E0E7ED"/>
          </w:tcPr>
          <w:p>
            <w:pPr>
              <w:spacing w:after="0"/>
              <w:rPr>
                <w:sz w:val="16"/>
                <w:szCs w:val="16"/>
                <w:color w:val="auto"/>
              </w:rPr>
            </w:pPr>
          </w:p>
        </w:tc>
        <w:tc>
          <w:tcPr>
            <w:tcW w:w="1120" w:type="dxa"/>
            <w:vAlign w:val="bottom"/>
            <w:tcBorders>
              <w:top w:val="single" w:sz="8" w:color="auto"/>
            </w:tcBorders>
            <w:shd w:val="clear" w:color="auto" w:fill="E0E7ED"/>
          </w:tcPr>
          <w:p>
            <w:pPr>
              <w:spacing w:after="0"/>
              <w:rPr>
                <w:sz w:val="16"/>
                <w:szCs w:val="16"/>
                <w:color w:val="auto"/>
              </w:rPr>
            </w:pPr>
          </w:p>
        </w:tc>
        <w:tc>
          <w:tcPr>
            <w:tcW w:w="20" w:type="dxa"/>
            <w:vAlign w:val="bottom"/>
            <w:tcBorders>
              <w:top w:val="single" w:sz="8" w:color="E0E7ED"/>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20" w:type="dxa"/>
            <w:vAlign w:val="bottom"/>
            <w:tcBorders>
              <w:top w:val="single" w:sz="8" w:color="auto"/>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30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60" w:type="dxa"/>
            <w:vAlign w:val="bottom"/>
          </w:tcPr>
          <w:p>
            <w:pPr>
              <w:ind w:left="140"/>
              <w:spacing w:after="0"/>
              <w:rPr>
                <w:sz w:val="20"/>
                <w:szCs w:val="20"/>
                <w:color w:val="auto"/>
              </w:rPr>
            </w:pPr>
            <w:r>
              <w:rPr>
                <w:rFonts w:ascii="Arial" w:cs="Arial" w:eastAsia="Arial" w:hAnsi="Arial"/>
                <w:sz w:val="14"/>
                <w:szCs w:val="14"/>
                <w:color w:val="auto"/>
              </w:rPr>
              <w:t>Obligations of U.S. government corporations and agencies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22"/>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Obligations of states and political subdivisions</w:t>
            </w:r>
            <w:r>
              <w:rPr>
                <w:rFonts w:ascii="Arial" w:cs="Arial" w:eastAsia="Arial" w:hAnsi="Arial"/>
                <w:sz w:val="18"/>
                <w:szCs w:val="18"/>
                <w:color w:val="auto"/>
                <w:vertAlign w:val="superscript"/>
              </w:rPr>
              <w:t>1</w:t>
            </w: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262,377</w:t>
            </w:r>
          </w:p>
        </w:tc>
        <w:tc>
          <w:tcPr>
            <w:tcW w:w="20" w:type="dxa"/>
            <w:vAlign w:val="bottom"/>
            <w:shd w:val="clear" w:color="auto" w:fill="E0E7ED"/>
          </w:tcPr>
          <w:p>
            <w:pPr>
              <w:spacing w:after="0"/>
              <w:rPr>
                <w:sz w:val="19"/>
                <w:szCs w:val="19"/>
                <w:color w:val="auto"/>
              </w:rPr>
            </w:pPr>
          </w:p>
        </w:tc>
        <w:tc>
          <w:tcPr>
            <w:tcW w:w="60" w:type="dxa"/>
            <w:vAlign w:val="bottom"/>
            <w:shd w:val="clear" w:color="auto" w:fill="E0E7ED"/>
          </w:tcPr>
          <w:p>
            <w:pPr>
              <w:spacing w:after="0"/>
              <w:rPr>
                <w:sz w:val="19"/>
                <w:szCs w:val="19"/>
                <w:color w:val="auto"/>
              </w:rPr>
            </w:pPr>
          </w:p>
        </w:tc>
        <w:tc>
          <w:tcPr>
            <w:tcW w:w="2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(18,603)</w:t>
            </w: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243,864</w:t>
            </w:r>
          </w:p>
        </w:tc>
        <w:tc>
          <w:tcPr>
            <w:tcW w:w="0" w:type="dxa"/>
            <w:vAlign w:val="bottom"/>
          </w:tcPr>
          <w:p>
            <w:pPr>
              <w:spacing w:after="0"/>
              <w:rPr>
                <w:sz w:val="1"/>
                <w:szCs w:val="1"/>
                <w:color w:val="auto"/>
              </w:rPr>
            </w:pPr>
          </w:p>
        </w:tc>
      </w:tr>
      <w:tr>
        <w:trPr>
          <w:trHeight w:val="212"/>
        </w:trPr>
        <w:tc>
          <w:tcPr>
            <w:tcW w:w="5560" w:type="dxa"/>
            <w:vAlign w:val="bottom"/>
          </w:tcPr>
          <w:p>
            <w:pPr>
              <w:ind w:left="140"/>
              <w:spacing w:after="0"/>
              <w:rPr>
                <w:sz w:val="20"/>
                <w:szCs w:val="20"/>
                <w:color w:val="auto"/>
              </w:rPr>
            </w:pPr>
            <w:r>
              <w:rPr>
                <w:rFonts w:ascii="Arial" w:cs="Arial" w:eastAsia="Arial" w:hAnsi="Arial"/>
                <w:sz w:val="14"/>
                <w:szCs w:val="14"/>
                <w:color w:val="auto"/>
              </w:rPr>
              <w:t>Asset-backed securities</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342,584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342,676</w:t>
            </w:r>
          </w:p>
        </w:tc>
        <w:tc>
          <w:tcPr>
            <w:tcW w:w="0" w:type="dxa"/>
            <w:vAlign w:val="bottom"/>
          </w:tcPr>
          <w:p>
            <w:pPr>
              <w:spacing w:after="0"/>
              <w:rPr>
                <w:sz w:val="1"/>
                <w:szCs w:val="1"/>
                <w:color w:val="auto"/>
              </w:rPr>
            </w:pPr>
          </w:p>
        </w:tc>
      </w:tr>
      <w:tr>
        <w:trPr>
          <w:trHeight w:val="212"/>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Commercial mortgage-backed securities</w:t>
            </w:r>
          </w:p>
        </w:tc>
        <w:tc>
          <w:tcPr>
            <w:tcW w:w="24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93,488</w:t>
            </w:r>
          </w:p>
        </w:tc>
        <w:tc>
          <w:tcPr>
            <w:tcW w:w="2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2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98</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(12,762)</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80,824</w:t>
            </w:r>
          </w:p>
        </w:tc>
        <w:tc>
          <w:tcPr>
            <w:tcW w:w="0" w:type="dxa"/>
            <w:vAlign w:val="bottom"/>
          </w:tcPr>
          <w:p>
            <w:pPr>
              <w:spacing w:after="0"/>
              <w:rPr>
                <w:sz w:val="1"/>
                <w:szCs w:val="1"/>
                <w:color w:val="auto"/>
              </w:rPr>
            </w:pPr>
          </w:p>
        </w:tc>
      </w:tr>
      <w:tr>
        <w:trPr>
          <w:trHeight w:val="212"/>
        </w:trPr>
        <w:tc>
          <w:tcPr>
            <w:tcW w:w="5560" w:type="dxa"/>
            <w:vAlign w:val="bottom"/>
          </w:tcPr>
          <w:p>
            <w:pPr>
              <w:ind w:left="140"/>
              <w:spacing w:after="0"/>
              <w:rPr>
                <w:sz w:val="20"/>
                <w:szCs w:val="20"/>
                <w:color w:val="auto"/>
              </w:rPr>
            </w:pPr>
            <w:r>
              <w:rPr>
                <w:rFonts w:ascii="Arial" w:cs="Arial" w:eastAsia="Arial" w:hAnsi="Arial"/>
                <w:sz w:val="14"/>
                <w:szCs w:val="14"/>
                <w:color w:val="auto"/>
              </w:rPr>
              <w:t>Residential mortgage-backed securities</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1,651,857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(158,626)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1,495,516</w:t>
            </w:r>
          </w:p>
        </w:tc>
        <w:tc>
          <w:tcPr>
            <w:tcW w:w="0" w:type="dxa"/>
            <w:vAlign w:val="bottom"/>
          </w:tcPr>
          <w:p>
            <w:pPr>
              <w:spacing w:after="0"/>
              <w:rPr>
                <w:sz w:val="1"/>
                <w:szCs w:val="1"/>
                <w:color w:val="auto"/>
              </w:rPr>
            </w:pPr>
          </w:p>
        </w:tc>
      </w:tr>
      <w:tr>
        <w:trPr>
          <w:trHeight w:val="212"/>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Corporate debt securities</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113,716</w:t>
            </w:r>
          </w:p>
        </w:tc>
        <w:tc>
          <w:tcPr>
            <w:tcW w:w="2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20" w:type="dxa"/>
            <w:vAlign w:val="bottom"/>
            <w:tcBorders>
              <w:bottom w:val="single" w:sz="8" w:color="auto"/>
            </w:tcBorders>
            <w:shd w:val="clear" w:color="auto" w:fill="E0E7ED"/>
          </w:tcPr>
          <w:p>
            <w:pPr>
              <w:spacing w:after="0"/>
              <w:rPr>
                <w:sz w:val="18"/>
                <w:szCs w:val="18"/>
                <w:color w:val="auto"/>
              </w:rPr>
            </w:pPr>
          </w:p>
        </w:tc>
        <w:tc>
          <w:tcPr>
            <w:tcW w:w="22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365</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(3,304)</w:t>
            </w:r>
          </w:p>
        </w:tc>
        <w:tc>
          <w:tcPr>
            <w:tcW w:w="10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110,777</w:t>
            </w: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rPr>
                <w:sz w:val="20"/>
                <w:szCs w:val="20"/>
                <w:color w:val="auto"/>
              </w:rPr>
            </w:pPr>
            <w:r>
              <w:rPr>
                <w:rFonts w:ascii="Arial" w:cs="Arial" w:eastAsia="Arial" w:hAnsi="Arial"/>
                <w:sz w:val="14"/>
                <w:szCs w:val="14"/>
                <w:color w:val="auto"/>
              </w:rPr>
              <w:t>Total debt securities available for sale</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2,464,241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2,930</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(193,297)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2,273,874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1"/>
                <w:szCs w:val="11"/>
                <w:b w:val="1"/>
                <w:bCs w:val="1"/>
                <w:color w:val="auto"/>
              </w:rPr>
              <w:t>Amortized</w:t>
            </w: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1"/>
                <w:szCs w:val="11"/>
                <w:b w:val="1"/>
                <w:bCs w:val="1"/>
                <w:color w:val="auto"/>
              </w:rPr>
              <w:t>Unrecognized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center"/>
              <w:ind w:right="233"/>
              <w:spacing w:after="0"/>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44"/>
        </w:trPr>
        <w:tc>
          <w:tcPr>
            <w:tcW w:w="5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Gross Gains</w:t>
            </w:r>
          </w:p>
        </w:tc>
        <w:tc>
          <w:tcPr>
            <w:tcW w:w="280" w:type="dxa"/>
            <w:vAlign w:val="bottom"/>
          </w:tcPr>
          <w:p>
            <w:pPr>
              <w:spacing w:after="0"/>
              <w:rPr>
                <w:sz w:val="3"/>
                <w:szCs w:val="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Gross Losses</w:t>
            </w:r>
          </w:p>
        </w:tc>
        <w:tc>
          <w:tcPr>
            <w:tcW w:w="3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5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33"/>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92"/>
        </w:trPr>
        <w:tc>
          <w:tcPr>
            <w:tcW w:w="55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Debt securities held to maturity</w:t>
            </w:r>
          </w:p>
        </w:tc>
        <w:tc>
          <w:tcPr>
            <w:tcW w:w="240" w:type="dxa"/>
            <w:vAlign w:val="bottom"/>
            <w:tcBorders>
              <w:top w:val="single" w:sz="8" w:color="auto"/>
            </w:tcBorders>
            <w:shd w:val="clear" w:color="auto" w:fill="E0E7ED"/>
          </w:tcPr>
          <w:p>
            <w:pPr>
              <w:spacing w:after="0"/>
              <w:rPr>
                <w:sz w:val="16"/>
                <w:szCs w:val="16"/>
                <w:color w:val="auto"/>
              </w:rPr>
            </w:pPr>
          </w:p>
        </w:tc>
        <w:tc>
          <w:tcPr>
            <w:tcW w:w="1120" w:type="dxa"/>
            <w:vAlign w:val="bottom"/>
            <w:tcBorders>
              <w:top w:val="single" w:sz="8" w:color="auto"/>
            </w:tcBorders>
            <w:shd w:val="clear" w:color="auto" w:fill="E0E7ED"/>
          </w:tcPr>
          <w:p>
            <w:pPr>
              <w:spacing w:after="0"/>
              <w:rPr>
                <w:sz w:val="16"/>
                <w:szCs w:val="16"/>
                <w:color w:val="auto"/>
              </w:rPr>
            </w:pPr>
          </w:p>
        </w:tc>
        <w:tc>
          <w:tcPr>
            <w:tcW w:w="2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2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30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60" w:type="dxa"/>
            <w:vAlign w:val="bottom"/>
          </w:tcPr>
          <w:p>
            <w:pPr>
              <w:ind w:left="140"/>
              <w:spacing w:after="0"/>
              <w:rPr>
                <w:sz w:val="20"/>
                <w:szCs w:val="20"/>
                <w:color w:val="auto"/>
              </w:rPr>
            </w:pPr>
            <w:r>
              <w:rPr>
                <w:rFonts w:ascii="Arial" w:cs="Arial" w:eastAsia="Arial" w:hAnsi="Arial"/>
                <w:sz w:val="14"/>
                <w:szCs w:val="14"/>
                <w:color w:val="auto"/>
              </w:rPr>
              <w:t>Commercial mortgage-backed securities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411,680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(71,458)</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340,222</w:t>
            </w:r>
          </w:p>
        </w:tc>
        <w:tc>
          <w:tcPr>
            <w:tcW w:w="0" w:type="dxa"/>
            <w:vAlign w:val="bottom"/>
          </w:tcPr>
          <w:p>
            <w:pPr>
              <w:spacing w:after="0"/>
              <w:rPr>
                <w:sz w:val="1"/>
                <w:szCs w:val="1"/>
                <w:color w:val="auto"/>
              </w:rPr>
            </w:pPr>
          </w:p>
        </w:tc>
      </w:tr>
      <w:tr>
        <w:trPr>
          <w:trHeight w:val="213"/>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Residential mortgage-backed securities</w:t>
            </w:r>
          </w:p>
        </w:tc>
        <w:tc>
          <w:tcPr>
            <w:tcW w:w="24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403,722</w:t>
            </w:r>
          </w:p>
        </w:tc>
        <w:tc>
          <w:tcPr>
            <w:tcW w:w="20" w:type="dxa"/>
            <w:vAlign w:val="bottom"/>
            <w:tcBorders>
              <w:bottom w:val="single" w:sz="8" w:color="auto"/>
            </w:tcBorders>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20" w:type="dxa"/>
            <w:vAlign w:val="bottom"/>
            <w:shd w:val="clear" w:color="auto" w:fill="E0E7ED"/>
          </w:tcPr>
          <w:p>
            <w:pPr>
              <w:spacing w:after="0"/>
              <w:rPr>
                <w:sz w:val="18"/>
                <w:szCs w:val="18"/>
                <w:color w:val="auto"/>
              </w:rPr>
            </w:pPr>
          </w:p>
        </w:tc>
        <w:tc>
          <w:tcPr>
            <w:tcW w:w="22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(65,474)</w:t>
            </w:r>
          </w:p>
        </w:tc>
        <w:tc>
          <w:tcPr>
            <w:tcW w:w="10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338,248</w:t>
            </w:r>
          </w:p>
        </w:tc>
        <w:tc>
          <w:tcPr>
            <w:tcW w:w="0" w:type="dxa"/>
            <w:vAlign w:val="bottom"/>
          </w:tcPr>
          <w:p>
            <w:pPr>
              <w:spacing w:after="0"/>
              <w:rPr>
                <w:sz w:val="1"/>
                <w:szCs w:val="1"/>
                <w:color w:val="auto"/>
              </w:rPr>
            </w:pPr>
          </w:p>
        </w:tc>
      </w:tr>
      <w:tr>
        <w:trPr>
          <w:trHeight w:val="212"/>
        </w:trPr>
        <w:tc>
          <w:tcPr>
            <w:tcW w:w="5560" w:type="dxa"/>
            <w:vAlign w:val="bottom"/>
          </w:tcPr>
          <w:p>
            <w:pPr>
              <w:ind w:left="20"/>
              <w:spacing w:after="0"/>
              <w:rPr>
                <w:sz w:val="20"/>
                <w:szCs w:val="20"/>
                <w:color w:val="auto"/>
              </w:rPr>
            </w:pPr>
            <w:r>
              <w:rPr>
                <w:rFonts w:ascii="Arial" w:cs="Arial" w:eastAsia="Arial" w:hAnsi="Arial"/>
                <w:sz w:val="14"/>
                <w:szCs w:val="14"/>
                <w:color w:val="auto"/>
              </w:rPr>
              <w:t>Total debt securities held to maturity</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815,402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(136,932)</w:t>
            </w:r>
          </w:p>
        </w:tc>
        <w:tc>
          <w:tcPr>
            <w:tcW w:w="100" w:type="dxa"/>
            <w:vAlign w:val="bottom"/>
          </w:tcPr>
          <w:p>
            <w:pPr>
              <w:spacing w:after="0"/>
              <w:rPr>
                <w:sz w:val="18"/>
                <w:szCs w:val="18"/>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678,470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securities marked at par, with no gain or loss to report.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1"/>
                <w:szCs w:val="11"/>
                <w:b w:val="1"/>
                <w:bCs w:val="1"/>
                <w:color w:val="auto"/>
              </w:rPr>
              <w:t>As of December 31, 2024</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rPr>
              <w:t>Amortized</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1"/>
                <w:szCs w:val="11"/>
                <w:b w:val="1"/>
                <w:bCs w:val="1"/>
                <w:color w:val="auto"/>
              </w:rPr>
              <w:t>Unrealized</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center"/>
              <w:ind w:right="233"/>
              <w:spacing w:after="0"/>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44"/>
        </w:trPr>
        <w:tc>
          <w:tcPr>
            <w:tcW w:w="55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Gross Gains</w:t>
            </w:r>
          </w:p>
        </w:tc>
        <w:tc>
          <w:tcPr>
            <w:tcW w:w="280" w:type="dxa"/>
            <w:vAlign w:val="bottom"/>
          </w:tcPr>
          <w:p>
            <w:pPr>
              <w:spacing w:after="0"/>
              <w:rPr>
                <w:sz w:val="3"/>
                <w:szCs w:val="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Gross Losses</w:t>
            </w:r>
          </w:p>
        </w:tc>
        <w:tc>
          <w:tcPr>
            <w:tcW w:w="3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55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33"/>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92"/>
        </w:trPr>
        <w:tc>
          <w:tcPr>
            <w:tcW w:w="55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Debt securities available for sale</w:t>
            </w:r>
          </w:p>
        </w:tc>
        <w:tc>
          <w:tcPr>
            <w:tcW w:w="260" w:type="dxa"/>
            <w:vAlign w:val="bottom"/>
            <w:tcBorders>
              <w:top w:val="single" w:sz="8" w:color="auto"/>
            </w:tcBorders>
            <w:shd w:val="clear" w:color="auto" w:fill="E0E7ED"/>
          </w:tcPr>
          <w:p>
            <w:pPr>
              <w:spacing w:after="0"/>
              <w:rPr>
                <w:sz w:val="16"/>
                <w:szCs w:val="16"/>
                <w:color w:val="auto"/>
              </w:rPr>
            </w:pPr>
          </w:p>
        </w:tc>
        <w:tc>
          <w:tcPr>
            <w:tcW w:w="112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30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60" w:type="dxa"/>
            <w:vAlign w:val="bottom"/>
          </w:tcPr>
          <w:p>
            <w:pPr>
              <w:ind w:left="140"/>
              <w:spacing w:after="0"/>
              <w:rPr>
                <w:sz w:val="20"/>
                <w:szCs w:val="20"/>
                <w:color w:val="auto"/>
              </w:rPr>
            </w:pPr>
            <w:r>
              <w:rPr>
                <w:rFonts w:ascii="Arial" w:cs="Arial" w:eastAsia="Arial" w:hAnsi="Arial"/>
                <w:sz w:val="14"/>
                <w:szCs w:val="14"/>
                <w:color w:val="auto"/>
              </w:rPr>
              <w:t>Obligations of U.S. government corporations and agencies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1,408</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222"/>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Obligations of states and political subdivisions</w:t>
            </w:r>
            <w:r>
              <w:rPr>
                <w:rFonts w:ascii="Arial" w:cs="Arial" w:eastAsia="Arial" w:hAnsi="Arial"/>
                <w:sz w:val="18"/>
                <w:szCs w:val="18"/>
                <w:color w:val="auto"/>
                <w:vertAlign w:val="superscript"/>
              </w:rPr>
              <w:t>1</w:t>
            </w:r>
          </w:p>
        </w:tc>
        <w:tc>
          <w:tcPr>
            <w:tcW w:w="26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156,534</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(16,736)</w:t>
            </w: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139,829</w:t>
            </w:r>
          </w:p>
        </w:tc>
        <w:tc>
          <w:tcPr>
            <w:tcW w:w="0" w:type="dxa"/>
            <w:vAlign w:val="bottom"/>
          </w:tcPr>
          <w:p>
            <w:pPr>
              <w:spacing w:after="0"/>
              <w:rPr>
                <w:sz w:val="1"/>
                <w:szCs w:val="1"/>
                <w:color w:val="auto"/>
              </w:rPr>
            </w:pPr>
          </w:p>
        </w:tc>
      </w:tr>
      <w:tr>
        <w:trPr>
          <w:trHeight w:val="212"/>
        </w:trPr>
        <w:tc>
          <w:tcPr>
            <w:tcW w:w="5560" w:type="dxa"/>
            <w:vAlign w:val="bottom"/>
          </w:tcPr>
          <w:p>
            <w:pPr>
              <w:ind w:left="140"/>
              <w:spacing w:after="0"/>
              <w:rPr>
                <w:sz w:val="20"/>
                <w:szCs w:val="20"/>
                <w:color w:val="auto"/>
              </w:rPr>
            </w:pPr>
            <w:r>
              <w:rPr>
                <w:rFonts w:ascii="Arial" w:cs="Arial" w:eastAsia="Arial" w:hAnsi="Arial"/>
                <w:sz w:val="14"/>
                <w:szCs w:val="14"/>
                <w:color w:val="auto"/>
              </w:rPr>
              <w:t>Asset-backed securities</w:t>
            </w:r>
            <w:r>
              <w:rPr>
                <w:rFonts w:ascii="Arial" w:cs="Arial" w:eastAsia="Arial" w:hAnsi="Arial"/>
                <w:sz w:val="18"/>
                <w:szCs w:val="18"/>
                <w:color w:val="auto"/>
                <w:vertAlign w:val="superscript"/>
              </w:rPr>
              <w:t>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336,379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336,557</w:t>
            </w:r>
          </w:p>
        </w:tc>
        <w:tc>
          <w:tcPr>
            <w:tcW w:w="0" w:type="dxa"/>
            <w:vAlign w:val="bottom"/>
          </w:tcPr>
          <w:p>
            <w:pPr>
              <w:spacing w:after="0"/>
              <w:rPr>
                <w:sz w:val="1"/>
                <w:szCs w:val="1"/>
                <w:color w:val="auto"/>
              </w:rPr>
            </w:pPr>
          </w:p>
        </w:tc>
      </w:tr>
      <w:tr>
        <w:trPr>
          <w:trHeight w:val="212"/>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Commercial mortgage-backed securities</w:t>
            </w:r>
          </w:p>
        </w:tc>
        <w:tc>
          <w:tcPr>
            <w:tcW w:w="2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107,305</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22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(15,131)</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92,174</w:t>
            </w:r>
          </w:p>
        </w:tc>
        <w:tc>
          <w:tcPr>
            <w:tcW w:w="0" w:type="dxa"/>
            <w:vAlign w:val="bottom"/>
          </w:tcPr>
          <w:p>
            <w:pPr>
              <w:spacing w:after="0"/>
              <w:rPr>
                <w:sz w:val="1"/>
                <w:szCs w:val="1"/>
                <w:color w:val="auto"/>
              </w:rPr>
            </w:pPr>
          </w:p>
        </w:tc>
      </w:tr>
      <w:tr>
        <w:trPr>
          <w:trHeight w:val="202"/>
        </w:trPr>
        <w:tc>
          <w:tcPr>
            <w:tcW w:w="5560" w:type="dxa"/>
            <w:vAlign w:val="bottom"/>
          </w:tcPr>
          <w:p>
            <w:pPr>
              <w:ind w:left="140"/>
              <w:spacing w:after="0"/>
              <w:rPr>
                <w:sz w:val="20"/>
                <w:szCs w:val="20"/>
                <w:color w:val="auto"/>
              </w:rPr>
            </w:pPr>
            <w:r>
              <w:rPr>
                <w:rFonts w:ascii="Arial" w:cs="Arial" w:eastAsia="Arial" w:hAnsi="Arial"/>
                <w:sz w:val="14"/>
                <w:szCs w:val="14"/>
                <w:color w:val="auto"/>
              </w:rPr>
              <w:t>Residential mortgage-backed securities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1,279,090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(191,899)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1,087,210</w:t>
            </w:r>
          </w:p>
        </w:tc>
        <w:tc>
          <w:tcPr>
            <w:tcW w:w="0" w:type="dxa"/>
            <w:vAlign w:val="bottom"/>
          </w:tcPr>
          <w:p>
            <w:pPr>
              <w:spacing w:after="0"/>
              <w:rPr>
                <w:sz w:val="1"/>
                <w:szCs w:val="1"/>
                <w:color w:val="auto"/>
              </w:rPr>
            </w:pPr>
          </w:p>
        </w:tc>
      </w:tr>
      <w:tr>
        <w:trPr>
          <w:trHeight w:val="213"/>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Corporate debt securities</w:t>
            </w:r>
          </w:p>
        </w:tc>
        <w:tc>
          <w:tcPr>
            <w:tcW w:w="26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159,236</w:t>
            </w:r>
          </w:p>
        </w:tc>
        <w:tc>
          <w:tcPr>
            <w:tcW w:w="80" w:type="dxa"/>
            <w:vAlign w:val="bottom"/>
            <w:shd w:val="clear" w:color="auto" w:fill="E0E7ED"/>
          </w:tcPr>
          <w:p>
            <w:pPr>
              <w:spacing w:after="0"/>
              <w:rPr>
                <w:sz w:val="18"/>
                <w:szCs w:val="18"/>
                <w:color w:val="auto"/>
              </w:rPr>
            </w:pPr>
          </w:p>
        </w:tc>
        <w:tc>
          <w:tcPr>
            <w:tcW w:w="22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363</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(6,548)</w:t>
            </w:r>
          </w:p>
        </w:tc>
        <w:tc>
          <w:tcPr>
            <w:tcW w:w="10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153,051</w:t>
            </w:r>
          </w:p>
        </w:tc>
        <w:tc>
          <w:tcPr>
            <w:tcW w:w="0" w:type="dxa"/>
            <w:vAlign w:val="bottom"/>
          </w:tcPr>
          <w:p>
            <w:pPr>
              <w:spacing w:after="0"/>
              <w:rPr>
                <w:sz w:val="1"/>
                <w:szCs w:val="1"/>
                <w:color w:val="auto"/>
              </w:rPr>
            </w:pPr>
          </w:p>
        </w:tc>
      </w:tr>
      <w:tr>
        <w:trPr>
          <w:trHeight w:val="212"/>
        </w:trPr>
        <w:tc>
          <w:tcPr>
            <w:tcW w:w="5560" w:type="dxa"/>
            <w:vAlign w:val="bottom"/>
          </w:tcPr>
          <w:p>
            <w:pPr>
              <w:ind w:left="20"/>
              <w:spacing w:after="0"/>
              <w:rPr>
                <w:sz w:val="20"/>
                <w:szCs w:val="20"/>
                <w:color w:val="auto"/>
              </w:rPr>
            </w:pPr>
            <w:r>
              <w:rPr>
                <w:rFonts w:ascii="Arial" w:cs="Arial" w:eastAsia="Arial" w:hAnsi="Arial"/>
                <w:sz w:val="14"/>
                <w:szCs w:val="14"/>
                <w:color w:val="auto"/>
              </w:rPr>
              <w:t>Total debt securities available for sale</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2,039,952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(230,325)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1,810,221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rPr>
              <w:t>Amortized</w:t>
            </w: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1"/>
                <w:szCs w:val="11"/>
                <w:b w:val="1"/>
                <w:bCs w:val="1"/>
                <w:color w:val="auto"/>
              </w:rPr>
              <w:t>Unrecognized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center"/>
              <w:ind w:right="233"/>
              <w:spacing w:after="0"/>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44"/>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Gross Gains</w:t>
            </w:r>
          </w:p>
        </w:tc>
        <w:tc>
          <w:tcPr>
            <w:tcW w:w="280" w:type="dxa"/>
            <w:vAlign w:val="bottom"/>
          </w:tcPr>
          <w:p>
            <w:pPr>
              <w:spacing w:after="0"/>
              <w:rPr>
                <w:sz w:val="3"/>
                <w:szCs w:val="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Gross Losses</w:t>
            </w:r>
          </w:p>
        </w:tc>
        <w:tc>
          <w:tcPr>
            <w:tcW w:w="3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5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33"/>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92"/>
        </w:trPr>
        <w:tc>
          <w:tcPr>
            <w:tcW w:w="55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Debt securities held to maturity</w:t>
            </w:r>
          </w:p>
        </w:tc>
        <w:tc>
          <w:tcPr>
            <w:tcW w:w="260" w:type="dxa"/>
            <w:vAlign w:val="bottom"/>
            <w:tcBorders>
              <w:top w:val="single" w:sz="8" w:color="auto"/>
            </w:tcBorders>
            <w:shd w:val="clear" w:color="auto" w:fill="E0E7ED"/>
          </w:tcPr>
          <w:p>
            <w:pPr>
              <w:spacing w:after="0"/>
              <w:rPr>
                <w:sz w:val="16"/>
                <w:szCs w:val="16"/>
                <w:color w:val="auto"/>
              </w:rPr>
            </w:pPr>
          </w:p>
        </w:tc>
        <w:tc>
          <w:tcPr>
            <w:tcW w:w="112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30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60" w:type="dxa"/>
            <w:vAlign w:val="bottom"/>
          </w:tcPr>
          <w:p>
            <w:pPr>
              <w:ind w:left="140"/>
              <w:spacing w:after="0"/>
              <w:rPr>
                <w:sz w:val="20"/>
                <w:szCs w:val="20"/>
                <w:color w:val="auto"/>
              </w:rPr>
            </w:pPr>
            <w:r>
              <w:rPr>
                <w:rFonts w:ascii="Arial" w:cs="Arial" w:eastAsia="Arial" w:hAnsi="Arial"/>
                <w:sz w:val="14"/>
                <w:szCs w:val="14"/>
                <w:color w:val="auto"/>
              </w:rPr>
              <w:t>Commercial mortgage-backed securities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415,530</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(77,242)</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338,288</w:t>
            </w:r>
          </w:p>
        </w:tc>
        <w:tc>
          <w:tcPr>
            <w:tcW w:w="0" w:type="dxa"/>
            <w:vAlign w:val="bottom"/>
          </w:tcPr>
          <w:p>
            <w:pPr>
              <w:spacing w:after="0"/>
              <w:rPr>
                <w:sz w:val="1"/>
                <w:szCs w:val="1"/>
                <w:color w:val="auto"/>
              </w:rPr>
            </w:pPr>
          </w:p>
        </w:tc>
      </w:tr>
      <w:tr>
        <w:trPr>
          <w:trHeight w:val="213"/>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Residential mortgage-backed securities</w:t>
            </w:r>
          </w:p>
        </w:tc>
        <w:tc>
          <w:tcPr>
            <w:tcW w:w="26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411,100</w:t>
            </w:r>
          </w:p>
        </w:tc>
        <w:tc>
          <w:tcPr>
            <w:tcW w:w="80" w:type="dxa"/>
            <w:vAlign w:val="bottom"/>
            <w:shd w:val="clear" w:color="auto" w:fill="E0E7ED"/>
          </w:tcPr>
          <w:p>
            <w:pPr>
              <w:spacing w:after="0"/>
              <w:rPr>
                <w:sz w:val="18"/>
                <w:szCs w:val="18"/>
                <w:color w:val="auto"/>
              </w:rPr>
            </w:pPr>
          </w:p>
        </w:tc>
        <w:tc>
          <w:tcPr>
            <w:tcW w:w="22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(74,335)</w:t>
            </w:r>
          </w:p>
        </w:tc>
        <w:tc>
          <w:tcPr>
            <w:tcW w:w="10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336,765</w:t>
            </w:r>
          </w:p>
        </w:tc>
        <w:tc>
          <w:tcPr>
            <w:tcW w:w="0" w:type="dxa"/>
            <w:vAlign w:val="bottom"/>
          </w:tcPr>
          <w:p>
            <w:pPr>
              <w:spacing w:after="0"/>
              <w:rPr>
                <w:sz w:val="1"/>
                <w:szCs w:val="1"/>
                <w:color w:val="auto"/>
              </w:rPr>
            </w:pPr>
          </w:p>
        </w:tc>
      </w:tr>
      <w:tr>
        <w:trPr>
          <w:trHeight w:val="212"/>
        </w:trPr>
        <w:tc>
          <w:tcPr>
            <w:tcW w:w="5560" w:type="dxa"/>
            <w:vAlign w:val="bottom"/>
          </w:tcPr>
          <w:p>
            <w:pPr>
              <w:ind w:left="20"/>
              <w:spacing w:after="0"/>
              <w:rPr>
                <w:sz w:val="20"/>
                <w:szCs w:val="20"/>
                <w:color w:val="auto"/>
              </w:rPr>
            </w:pPr>
            <w:r>
              <w:rPr>
                <w:rFonts w:ascii="Arial" w:cs="Arial" w:eastAsia="Arial" w:hAnsi="Arial"/>
                <w:sz w:val="14"/>
                <w:szCs w:val="14"/>
                <w:color w:val="auto"/>
              </w:rPr>
              <w:t>Total debt securities held to maturity</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826,630</w:t>
            </w:r>
          </w:p>
        </w:tc>
        <w:tc>
          <w:tcPr>
            <w:tcW w:w="80" w:type="dxa"/>
            <w:vAlign w:val="bottom"/>
          </w:tcPr>
          <w:p>
            <w:pPr>
              <w:spacing w:after="0"/>
              <w:rPr>
                <w:sz w:val="18"/>
                <w:szCs w:val="18"/>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(151,577)</w:t>
            </w:r>
          </w:p>
        </w:tc>
        <w:tc>
          <w:tcPr>
            <w:tcW w:w="100" w:type="dxa"/>
            <w:vAlign w:val="bottom"/>
          </w:tcPr>
          <w:p>
            <w:pPr>
              <w:spacing w:after="0"/>
              <w:rPr>
                <w:sz w:val="18"/>
                <w:szCs w:val="18"/>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675,053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securities marked at par, with no gain or loss to report.</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Maturities of Debt Securities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March 31, 2025</w:t>
            </w: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3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tcPr>
          <w:p>
            <w:pPr>
              <w:jc w:val="center"/>
              <w:ind w:right="360"/>
              <w:spacing w:after="0" w:line="112" w:lineRule="exact"/>
              <w:rPr>
                <w:sz w:val="20"/>
                <w:szCs w:val="20"/>
                <w:color w:val="auto"/>
              </w:rPr>
            </w:pPr>
            <w:r>
              <w:rPr>
                <w:rFonts w:ascii="Arial" w:cs="Arial" w:eastAsia="Arial" w:hAnsi="Arial"/>
                <w:sz w:val="11"/>
                <w:szCs w:val="11"/>
                <w:b w:val="1"/>
                <w:bCs w:val="1"/>
                <w:color w:val="auto"/>
              </w:rPr>
              <w:t>Amortized</w:t>
            </w:r>
          </w:p>
        </w:tc>
        <w:tc>
          <w:tcPr>
            <w:tcW w:w="520" w:type="dxa"/>
            <w:vAlign w:val="bottom"/>
          </w:tcPr>
          <w:p>
            <w:pPr>
              <w:spacing w:after="0"/>
              <w:rPr>
                <w:sz w:val="9"/>
                <w:szCs w:val="9"/>
                <w:color w:val="auto"/>
              </w:rPr>
            </w:pPr>
          </w:p>
        </w:tc>
        <w:tc>
          <w:tcPr>
            <w:tcW w:w="840" w:type="dxa"/>
            <w:vAlign w:val="bottom"/>
          </w:tcPr>
          <w:p>
            <w:pPr>
              <w:jc w:val="right"/>
              <w:ind w:right="512"/>
              <w:spacing w:after="0" w:line="112" w:lineRule="exact"/>
              <w:rPr>
                <w:sz w:val="20"/>
                <w:szCs w:val="20"/>
                <w:color w:val="auto"/>
              </w:rPr>
            </w:pPr>
            <w:r>
              <w:rPr>
                <w:rFonts w:ascii="Arial" w:cs="Arial" w:eastAsia="Arial" w:hAnsi="Arial"/>
                <w:sz w:val="11"/>
                <w:szCs w:val="11"/>
                <w:b w:val="1"/>
                <w:bCs w:val="1"/>
                <w:color w:val="auto"/>
              </w:rPr>
              <w:t>Fair</w:t>
            </w:r>
          </w:p>
        </w:tc>
        <w:tc>
          <w:tcPr>
            <w:tcW w:w="0" w:type="dxa"/>
            <w:vAlign w:val="bottom"/>
          </w:tcPr>
          <w:p>
            <w:pPr>
              <w:spacing w:after="0"/>
              <w:rPr>
                <w:sz w:val="1"/>
                <w:szCs w:val="1"/>
                <w:color w:val="auto"/>
              </w:rPr>
            </w:pPr>
          </w:p>
        </w:tc>
      </w:tr>
      <w:tr>
        <w:trPr>
          <w:trHeight w:val="134"/>
        </w:trPr>
        <w:tc>
          <w:tcPr>
            <w:tcW w:w="8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Cost</w:t>
            </w:r>
          </w:p>
        </w:tc>
        <w:tc>
          <w:tcPr>
            <w:tcW w:w="520" w:type="dxa"/>
            <w:vAlign w:val="bottom"/>
          </w:tcPr>
          <w:p>
            <w:pPr>
              <w:spacing w:after="0"/>
              <w:rPr>
                <w:sz w:val="11"/>
                <w:szCs w:val="11"/>
                <w:color w:val="auto"/>
              </w:rPr>
            </w:pPr>
          </w:p>
        </w:tc>
        <w:tc>
          <w:tcPr>
            <w:tcW w:w="840" w:type="dxa"/>
            <w:vAlign w:val="bottom"/>
          </w:tcPr>
          <w:p>
            <w:pPr>
              <w:jc w:val="right"/>
              <w:ind w:right="472"/>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92"/>
        </w:trPr>
        <w:tc>
          <w:tcPr>
            <w:tcW w:w="83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Debt securities available for sale</w:t>
            </w:r>
          </w:p>
        </w:tc>
        <w:tc>
          <w:tcPr>
            <w:tcW w:w="80" w:type="dxa"/>
            <w:vAlign w:val="bottom"/>
            <w:tcBorders>
              <w:top w:val="single" w:sz="8" w:color="E0E7ED"/>
            </w:tcBorders>
            <w:shd w:val="clear" w:color="auto" w:fill="E0E7ED"/>
          </w:tcPr>
          <w:p>
            <w:pPr>
              <w:spacing w:after="0"/>
              <w:rPr>
                <w:sz w:val="16"/>
                <w:szCs w:val="16"/>
                <w:color w:val="auto"/>
              </w:rPr>
            </w:pPr>
          </w:p>
        </w:tc>
        <w:tc>
          <w:tcPr>
            <w:tcW w:w="260" w:type="dxa"/>
            <w:vAlign w:val="bottom"/>
            <w:tcBorders>
              <w:top w:val="single" w:sz="8" w:color="auto"/>
            </w:tcBorders>
            <w:shd w:val="clear" w:color="auto" w:fill="E0E7ED"/>
          </w:tcPr>
          <w:p>
            <w:pPr>
              <w:spacing w:after="0"/>
              <w:rPr>
                <w:sz w:val="16"/>
                <w:szCs w:val="16"/>
                <w:color w:val="auto"/>
              </w:rPr>
            </w:pPr>
          </w:p>
        </w:tc>
        <w:tc>
          <w:tcPr>
            <w:tcW w:w="110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520" w:type="dxa"/>
            <w:vAlign w:val="bottom"/>
            <w:tcBorders>
              <w:top w:val="single" w:sz="8" w:color="auto"/>
            </w:tcBorders>
            <w:shd w:val="clear" w:color="auto" w:fill="E0E7ED"/>
          </w:tcPr>
          <w:p>
            <w:pPr>
              <w:spacing w:after="0"/>
              <w:rPr>
                <w:sz w:val="16"/>
                <w:szCs w:val="16"/>
                <w:color w:val="auto"/>
              </w:rPr>
            </w:pPr>
          </w:p>
        </w:tc>
        <w:tc>
          <w:tcPr>
            <w:tcW w:w="84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380" w:type="dxa"/>
            <w:vAlign w:val="bottom"/>
          </w:tcPr>
          <w:p>
            <w:pPr>
              <w:ind w:left="140"/>
              <w:spacing w:after="0"/>
              <w:rPr>
                <w:sz w:val="20"/>
                <w:szCs w:val="20"/>
                <w:color w:val="auto"/>
              </w:rPr>
            </w:pPr>
            <w:r>
              <w:rPr>
                <w:rFonts w:ascii="Arial" w:cs="Arial" w:eastAsia="Arial" w:hAnsi="Arial"/>
                <w:sz w:val="14"/>
                <w:szCs w:val="14"/>
                <w:color w:val="auto"/>
              </w:rPr>
              <w:t>Due in one year or less</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68,340</w:t>
            </w:r>
          </w:p>
        </w:tc>
        <w:tc>
          <w:tcPr>
            <w:tcW w:w="100" w:type="dxa"/>
            <w:vAlign w:val="bottom"/>
          </w:tcPr>
          <w:p>
            <w:pPr>
              <w:spacing w:after="0"/>
              <w:rPr>
                <w:sz w:val="17"/>
                <w:szCs w:val="17"/>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68,099</w:t>
            </w:r>
          </w:p>
        </w:tc>
        <w:tc>
          <w:tcPr>
            <w:tcW w:w="0" w:type="dxa"/>
            <w:vAlign w:val="bottom"/>
          </w:tcPr>
          <w:p>
            <w:pPr>
              <w:spacing w:after="0"/>
              <w:rPr>
                <w:sz w:val="1"/>
                <w:szCs w:val="1"/>
                <w:color w:val="auto"/>
              </w:rPr>
            </w:pPr>
          </w:p>
        </w:tc>
      </w:tr>
      <w:tr>
        <w:trPr>
          <w:trHeight w:val="222"/>
        </w:trPr>
        <w:tc>
          <w:tcPr>
            <w:tcW w:w="83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Due after one year through five years</w:t>
            </w:r>
          </w:p>
        </w:tc>
        <w:tc>
          <w:tcPr>
            <w:tcW w:w="8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67,386</w:t>
            </w:r>
          </w:p>
        </w:tc>
        <w:tc>
          <w:tcPr>
            <w:tcW w:w="100" w:type="dxa"/>
            <w:vAlign w:val="bottom"/>
            <w:shd w:val="clear" w:color="auto" w:fill="E0E7ED"/>
          </w:tcPr>
          <w:p>
            <w:pPr>
              <w:spacing w:after="0"/>
              <w:rPr>
                <w:sz w:val="19"/>
                <w:szCs w:val="19"/>
                <w:color w:val="auto"/>
              </w:rPr>
            </w:pPr>
          </w:p>
        </w:tc>
        <w:tc>
          <w:tcPr>
            <w:tcW w:w="52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64,779</w:t>
            </w:r>
          </w:p>
        </w:tc>
        <w:tc>
          <w:tcPr>
            <w:tcW w:w="0" w:type="dxa"/>
            <w:vAlign w:val="bottom"/>
          </w:tcPr>
          <w:p>
            <w:pPr>
              <w:spacing w:after="0"/>
              <w:rPr>
                <w:sz w:val="1"/>
                <w:szCs w:val="1"/>
                <w:color w:val="auto"/>
              </w:rPr>
            </w:pPr>
          </w:p>
        </w:tc>
      </w:tr>
      <w:tr>
        <w:trPr>
          <w:trHeight w:val="202"/>
        </w:trPr>
        <w:tc>
          <w:tcPr>
            <w:tcW w:w="8380" w:type="dxa"/>
            <w:vAlign w:val="bottom"/>
          </w:tcPr>
          <w:p>
            <w:pPr>
              <w:ind w:left="140"/>
              <w:spacing w:after="0"/>
              <w:rPr>
                <w:sz w:val="20"/>
                <w:szCs w:val="20"/>
                <w:color w:val="auto"/>
              </w:rPr>
            </w:pPr>
            <w:r>
              <w:rPr>
                <w:rFonts w:ascii="Arial" w:cs="Arial" w:eastAsia="Arial" w:hAnsi="Arial"/>
                <w:sz w:val="14"/>
                <w:szCs w:val="14"/>
                <w:color w:val="auto"/>
              </w:rPr>
              <w:t>Due after five years through ten years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452,231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434,831</w:t>
            </w:r>
          </w:p>
        </w:tc>
        <w:tc>
          <w:tcPr>
            <w:tcW w:w="0" w:type="dxa"/>
            <w:vAlign w:val="bottom"/>
          </w:tcPr>
          <w:p>
            <w:pPr>
              <w:spacing w:after="0"/>
              <w:rPr>
                <w:sz w:val="1"/>
                <w:szCs w:val="1"/>
                <w:color w:val="auto"/>
              </w:rPr>
            </w:pPr>
          </w:p>
        </w:tc>
      </w:tr>
      <w:tr>
        <w:trPr>
          <w:trHeight w:val="213"/>
        </w:trPr>
        <w:tc>
          <w:tcPr>
            <w:tcW w:w="83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Due after ten years</w:t>
            </w:r>
          </w:p>
        </w:tc>
        <w:tc>
          <w:tcPr>
            <w:tcW w:w="80" w:type="dxa"/>
            <w:vAlign w:val="bottom"/>
            <w:shd w:val="clear" w:color="auto" w:fill="E0E7ED"/>
          </w:tcPr>
          <w:p>
            <w:pPr>
              <w:spacing w:after="0"/>
              <w:rPr>
                <w:sz w:val="18"/>
                <w:szCs w:val="18"/>
                <w:color w:val="auto"/>
              </w:rPr>
            </w:pP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1,876,284</w:t>
            </w:r>
          </w:p>
        </w:tc>
        <w:tc>
          <w:tcPr>
            <w:tcW w:w="100" w:type="dxa"/>
            <w:vAlign w:val="bottom"/>
            <w:shd w:val="clear" w:color="auto" w:fill="E0E7ED"/>
          </w:tcPr>
          <w:p>
            <w:pPr>
              <w:spacing w:after="0"/>
              <w:rPr>
                <w:sz w:val="18"/>
                <w:szCs w:val="18"/>
                <w:color w:val="auto"/>
              </w:rPr>
            </w:pPr>
          </w:p>
        </w:tc>
        <w:tc>
          <w:tcPr>
            <w:tcW w:w="520" w:type="dxa"/>
            <w:vAlign w:val="bottom"/>
            <w:tcBorders>
              <w:bottom w:val="single" w:sz="8" w:color="auto"/>
            </w:tcBorders>
            <w:shd w:val="clear" w:color="auto" w:fill="E0E7ED"/>
          </w:tcPr>
          <w:p>
            <w:pPr>
              <w:spacing w:after="0"/>
              <w:rPr>
                <w:sz w:val="18"/>
                <w:szCs w:val="18"/>
                <w:color w:val="auto"/>
              </w:rPr>
            </w:pPr>
          </w:p>
        </w:tc>
        <w:tc>
          <w:tcPr>
            <w:tcW w:w="8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1,706,165</w:t>
            </w:r>
          </w:p>
        </w:tc>
        <w:tc>
          <w:tcPr>
            <w:tcW w:w="0" w:type="dxa"/>
            <w:vAlign w:val="bottom"/>
          </w:tcPr>
          <w:p>
            <w:pPr>
              <w:spacing w:after="0"/>
              <w:rPr>
                <w:sz w:val="1"/>
                <w:szCs w:val="1"/>
                <w:color w:val="auto"/>
              </w:rPr>
            </w:pPr>
          </w:p>
        </w:tc>
      </w:tr>
      <w:tr>
        <w:trPr>
          <w:trHeight w:val="212"/>
        </w:trPr>
        <w:tc>
          <w:tcPr>
            <w:tcW w:w="8380" w:type="dxa"/>
            <w:vAlign w:val="bottom"/>
          </w:tcPr>
          <w:p>
            <w:pPr>
              <w:ind w:left="20"/>
              <w:spacing w:after="0"/>
              <w:rPr>
                <w:sz w:val="20"/>
                <w:szCs w:val="20"/>
                <w:color w:val="auto"/>
              </w:rPr>
            </w:pPr>
            <w:r>
              <w:rPr>
                <w:rFonts w:ascii="Arial" w:cs="Arial" w:eastAsia="Arial" w:hAnsi="Arial"/>
                <w:sz w:val="14"/>
                <w:szCs w:val="14"/>
                <w:color w:val="auto"/>
              </w:rPr>
              <w:t>Debt securities available for sale</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2,464,241</w:t>
            </w:r>
          </w:p>
        </w:tc>
        <w:tc>
          <w:tcPr>
            <w:tcW w:w="100" w:type="dxa"/>
            <w:vAlign w:val="bottom"/>
          </w:tcPr>
          <w:p>
            <w:pPr>
              <w:spacing w:after="0"/>
              <w:rPr>
                <w:sz w:val="18"/>
                <w:szCs w:val="18"/>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2,273,874</w:t>
            </w:r>
          </w:p>
        </w:tc>
        <w:tc>
          <w:tcPr>
            <w:tcW w:w="0" w:type="dxa"/>
            <w:vAlign w:val="bottom"/>
          </w:tcPr>
          <w:p>
            <w:pPr>
              <w:spacing w:after="0"/>
              <w:rPr>
                <w:sz w:val="1"/>
                <w:szCs w:val="1"/>
                <w:color w:val="auto"/>
              </w:rPr>
            </w:pPr>
          </w:p>
        </w:tc>
      </w:tr>
      <w:tr>
        <w:trPr>
          <w:trHeight w:val="20"/>
        </w:trPr>
        <w:tc>
          <w:tcPr>
            <w:tcW w:w="83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520" w:type="dxa"/>
            <w:vAlign w:val="bottom"/>
            <w:shd w:val="clear" w:color="auto" w:fill="E0E7ED"/>
          </w:tcPr>
          <w:p>
            <w:pPr>
              <w:spacing w:after="0"/>
              <w:rPr>
                <w:sz w:val="15"/>
                <w:szCs w:val="15"/>
                <w:color w:val="auto"/>
              </w:rPr>
            </w:pPr>
          </w:p>
        </w:tc>
        <w:tc>
          <w:tcPr>
            <w:tcW w:w="8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Debt securities held to maturity</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3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Due in one year or less</w:t>
            </w:r>
          </w:p>
        </w:tc>
        <w:tc>
          <w:tcPr>
            <w:tcW w:w="34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17,862</w:t>
            </w:r>
          </w:p>
        </w:tc>
        <w:tc>
          <w:tcPr>
            <w:tcW w:w="100" w:type="dxa"/>
            <w:vAlign w:val="bottom"/>
            <w:shd w:val="clear" w:color="auto" w:fill="E0E7ED"/>
          </w:tcPr>
          <w:p>
            <w:pPr>
              <w:spacing w:after="0"/>
              <w:rPr>
                <w:sz w:val="18"/>
                <w:szCs w:val="18"/>
                <w:color w:val="auto"/>
              </w:rPr>
            </w:pPr>
          </w:p>
        </w:tc>
        <w:tc>
          <w:tcPr>
            <w:tcW w:w="520" w:type="dxa"/>
            <w:vAlign w:val="bottom"/>
            <w:shd w:val="clear" w:color="auto" w:fill="E0E7ED"/>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17,665</w:t>
            </w:r>
          </w:p>
        </w:tc>
        <w:tc>
          <w:tcPr>
            <w:tcW w:w="0" w:type="dxa"/>
            <w:vAlign w:val="bottom"/>
          </w:tcPr>
          <w:p>
            <w:pPr>
              <w:spacing w:after="0"/>
              <w:rPr>
                <w:sz w:val="1"/>
                <w:szCs w:val="1"/>
                <w:color w:val="auto"/>
              </w:rPr>
            </w:pPr>
          </w:p>
        </w:tc>
      </w:tr>
      <w:tr>
        <w:trPr>
          <w:trHeight w:val="202"/>
        </w:trPr>
        <w:tc>
          <w:tcPr>
            <w:tcW w:w="8380" w:type="dxa"/>
            <w:vAlign w:val="bottom"/>
          </w:tcPr>
          <w:p>
            <w:pPr>
              <w:ind w:left="140"/>
              <w:spacing w:after="0"/>
              <w:rPr>
                <w:sz w:val="20"/>
                <w:szCs w:val="20"/>
                <w:color w:val="auto"/>
              </w:rPr>
            </w:pPr>
            <w:r>
              <w:rPr>
                <w:rFonts w:ascii="Arial" w:cs="Arial" w:eastAsia="Arial" w:hAnsi="Arial"/>
                <w:sz w:val="14"/>
                <w:szCs w:val="14"/>
                <w:color w:val="auto"/>
              </w:rPr>
              <w:t>Due after one year through five years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60,943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58,316</w:t>
            </w:r>
          </w:p>
        </w:tc>
        <w:tc>
          <w:tcPr>
            <w:tcW w:w="0" w:type="dxa"/>
            <w:vAlign w:val="bottom"/>
          </w:tcPr>
          <w:p>
            <w:pPr>
              <w:spacing w:after="0"/>
              <w:rPr>
                <w:sz w:val="1"/>
                <w:szCs w:val="1"/>
                <w:color w:val="auto"/>
              </w:rPr>
            </w:pPr>
          </w:p>
        </w:tc>
      </w:tr>
      <w:tr>
        <w:trPr>
          <w:trHeight w:val="222"/>
        </w:trPr>
        <w:tc>
          <w:tcPr>
            <w:tcW w:w="83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Due after five years through ten years</w:t>
            </w:r>
          </w:p>
        </w:tc>
        <w:tc>
          <w:tcPr>
            <w:tcW w:w="8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14,700</w:t>
            </w:r>
          </w:p>
        </w:tc>
        <w:tc>
          <w:tcPr>
            <w:tcW w:w="100" w:type="dxa"/>
            <w:vAlign w:val="bottom"/>
            <w:shd w:val="clear" w:color="auto" w:fill="E0E7ED"/>
          </w:tcPr>
          <w:p>
            <w:pPr>
              <w:spacing w:after="0"/>
              <w:rPr>
                <w:sz w:val="19"/>
                <w:szCs w:val="19"/>
                <w:color w:val="auto"/>
              </w:rPr>
            </w:pPr>
          </w:p>
        </w:tc>
        <w:tc>
          <w:tcPr>
            <w:tcW w:w="52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12,929</w:t>
            </w:r>
          </w:p>
        </w:tc>
        <w:tc>
          <w:tcPr>
            <w:tcW w:w="0" w:type="dxa"/>
            <w:vAlign w:val="bottom"/>
          </w:tcPr>
          <w:p>
            <w:pPr>
              <w:spacing w:after="0"/>
              <w:rPr>
                <w:sz w:val="1"/>
                <w:szCs w:val="1"/>
                <w:color w:val="auto"/>
              </w:rPr>
            </w:pPr>
          </w:p>
        </w:tc>
      </w:tr>
      <w:tr>
        <w:trPr>
          <w:trHeight w:val="203"/>
        </w:trPr>
        <w:tc>
          <w:tcPr>
            <w:tcW w:w="838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Due after ten years</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721,897</w:t>
            </w:r>
          </w:p>
        </w:tc>
        <w:tc>
          <w:tcPr>
            <w:tcW w:w="100" w:type="dxa"/>
            <w:vAlign w:val="bottom"/>
            <w:tcBorders>
              <w:bottom w:val="single" w:sz="8" w:color="E0E7ED"/>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589,560</w:t>
            </w:r>
          </w:p>
        </w:tc>
        <w:tc>
          <w:tcPr>
            <w:tcW w:w="0" w:type="dxa"/>
            <w:vAlign w:val="bottom"/>
          </w:tcPr>
          <w:p>
            <w:pPr>
              <w:spacing w:after="0"/>
              <w:rPr>
                <w:sz w:val="1"/>
                <w:szCs w:val="1"/>
                <w:color w:val="auto"/>
              </w:rPr>
            </w:pPr>
          </w:p>
        </w:tc>
      </w:tr>
      <w:tr>
        <w:trPr>
          <w:trHeight w:val="237"/>
        </w:trPr>
        <w:tc>
          <w:tcPr>
            <w:tcW w:w="83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Debt securities held to maturity</w:t>
            </w:r>
          </w:p>
        </w:tc>
        <w:tc>
          <w:tcPr>
            <w:tcW w:w="340" w:type="dxa"/>
            <w:vAlign w:val="bottom"/>
            <w:tcBorders>
              <w:bottom w:val="single" w:sz="8" w:color="auto"/>
            </w:tcBorders>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815,402</w:t>
            </w:r>
          </w:p>
        </w:tc>
        <w:tc>
          <w:tcPr>
            <w:tcW w:w="100" w:type="dxa"/>
            <w:vAlign w:val="bottom"/>
            <w:tcBorders>
              <w:bottom w:val="single" w:sz="8" w:color="auto"/>
            </w:tcBorders>
            <w:shd w:val="clear" w:color="auto" w:fill="E0E7ED"/>
          </w:tcPr>
          <w:p>
            <w:pPr>
              <w:spacing w:after="0"/>
              <w:rPr>
                <w:sz w:val="20"/>
                <w:szCs w:val="20"/>
                <w:color w:val="auto"/>
              </w:rPr>
            </w:pPr>
          </w:p>
        </w:tc>
        <w:tc>
          <w:tcPr>
            <w:tcW w:w="520" w:type="dxa"/>
            <w:vAlign w:val="bottom"/>
            <w:tcBorders>
              <w:bottom w:val="single" w:sz="8" w:color="auto"/>
            </w:tcBorders>
            <w:shd w:val="clear" w:color="auto" w:fill="E0E7ED"/>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678,470</w:t>
            </w:r>
          </w:p>
        </w:tc>
        <w:tc>
          <w:tcPr>
            <w:tcW w:w="0" w:type="dxa"/>
            <w:vAlign w:val="bottom"/>
          </w:tcPr>
          <w:p>
            <w:pPr>
              <w:spacing w:after="0"/>
              <w:rPr>
                <w:sz w:val="1"/>
                <w:szCs w:val="1"/>
                <w:color w:val="auto"/>
              </w:rPr>
            </w:pPr>
          </w:p>
        </w:tc>
      </w:tr>
      <w:tr>
        <w:trPr>
          <w:trHeight w:val="20"/>
        </w:trPr>
        <w:tc>
          <w:tcPr>
            <w:tcW w:w="8380" w:type="dxa"/>
            <w:vAlign w:val="bottom"/>
            <w:tcBorders>
              <w:top w:val="single" w:sz="8" w:color="E0E7ED"/>
              <w:bottom w:val="single" w:sz="8" w:color="E0E7ED"/>
            </w:tcBorders>
            <w:vMerge w:val="restart"/>
          </w:tcPr>
          <w:p>
            <w:pPr>
              <w:spacing w:after="0"/>
              <w:rPr>
                <w:sz w:val="20"/>
                <w:szCs w:val="20"/>
                <w:color w:val="auto"/>
              </w:rPr>
            </w:pPr>
            <w:r>
              <w:rPr>
                <w:rFonts w:ascii="Arial" w:cs="Arial" w:eastAsia="Arial" w:hAnsi="Arial"/>
                <w:sz w:val="14"/>
                <w:szCs w:val="14"/>
                <w:b w:val="1"/>
                <w:bCs w:val="1"/>
                <w:i w:val="1"/>
                <w:iCs w:val="1"/>
                <w:color w:val="auto"/>
              </w:rPr>
              <w:t>Gains and Losses on Debt Securities Available for Sale</w:t>
            </w:r>
          </w:p>
        </w:tc>
        <w:tc>
          <w:tcPr>
            <w:tcW w:w="80" w:type="dxa"/>
            <w:vAlign w:val="bottom"/>
            <w:tcBorders>
              <w:top w:val="single" w:sz="8" w:color="E0E7ED"/>
              <w:bottom w:val="single" w:sz="8" w:color="auto"/>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bottom w:val="single" w:sz="8" w:color="auto"/>
            </w:tcBorders>
          </w:tcPr>
          <w:p>
            <w:pPr>
              <w:spacing w:after="0" w:line="20" w:lineRule="exact"/>
              <w:rPr>
                <w:sz w:val="1"/>
                <w:szCs w:val="1"/>
                <w:color w:val="auto"/>
              </w:rPr>
            </w:pPr>
          </w:p>
        </w:tc>
        <w:tc>
          <w:tcPr>
            <w:tcW w:w="520" w:type="dxa"/>
            <w:vAlign w:val="bottom"/>
            <w:tcBorders>
              <w:top w:val="single" w:sz="8" w:color="E0E7ED"/>
              <w:bottom w:val="single" w:sz="8" w:color="auto"/>
            </w:tcBorders>
          </w:tcPr>
          <w:p>
            <w:pPr>
              <w:spacing w:after="0" w:line="20" w:lineRule="exact"/>
              <w:rPr>
                <w:sz w:val="1"/>
                <w:szCs w:val="1"/>
                <w:color w:val="auto"/>
              </w:rPr>
            </w:pPr>
          </w:p>
        </w:tc>
        <w:tc>
          <w:tcPr>
            <w:tcW w:w="8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380" w:type="dxa"/>
            <w:vAlign w:val="bottom"/>
          </w:tcPr>
          <w:p>
            <w:pPr>
              <w:spacing w:after="0"/>
              <w:rPr>
                <w:sz w:val="20"/>
                <w:szCs w:val="20"/>
                <w:color w:val="auto"/>
              </w:rPr>
            </w:pPr>
            <w:r>
              <w:rPr>
                <w:rFonts w:ascii="Arial" w:cs="Arial" w:eastAsia="Arial" w:hAnsi="Arial"/>
                <w:sz w:val="14"/>
                <w:szCs w:val="14"/>
                <w:color w:val="auto"/>
              </w:rPr>
              <w:t>Realized gains and losses related to sales and calls of debt securities available for sale are summarized as follows: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1"/>
                <w:szCs w:val="11"/>
                <w:b w:val="1"/>
                <w:bCs w:val="1"/>
                <w:color w:val="auto"/>
              </w:rPr>
              <w:t>Three Months Ended March 31,</w:t>
            </w:r>
          </w:p>
        </w:tc>
        <w:tc>
          <w:tcPr>
            <w:tcW w:w="0" w:type="dxa"/>
            <w:vAlign w:val="bottom"/>
          </w:tcPr>
          <w:p>
            <w:pPr>
              <w:spacing w:after="0"/>
              <w:rPr>
                <w:sz w:val="1"/>
                <w:szCs w:val="1"/>
                <w:color w:val="auto"/>
              </w:rPr>
            </w:pPr>
          </w:p>
        </w:tc>
      </w:tr>
      <w:tr>
        <w:trPr>
          <w:trHeight w:val="139"/>
        </w:trPr>
        <w:tc>
          <w:tcPr>
            <w:tcW w:w="838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83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Realized gains and losses on debt securities</w:t>
            </w: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520" w:type="dxa"/>
            <w:vAlign w:val="bottom"/>
            <w:shd w:val="clear" w:color="auto" w:fill="E0E7ED"/>
          </w:tcPr>
          <w:p>
            <w:pPr>
              <w:spacing w:after="0"/>
              <w:rPr>
                <w:sz w:val="16"/>
                <w:szCs w:val="16"/>
                <w:color w:val="auto"/>
              </w:rPr>
            </w:pPr>
          </w:p>
        </w:tc>
        <w:tc>
          <w:tcPr>
            <w:tcW w:w="8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380" w:type="dxa"/>
            <w:vAlign w:val="bottom"/>
          </w:tcPr>
          <w:p>
            <w:pPr>
              <w:ind w:left="140"/>
              <w:spacing w:after="0"/>
              <w:rPr>
                <w:sz w:val="20"/>
                <w:szCs w:val="20"/>
                <w:color w:val="auto"/>
              </w:rPr>
            </w:pPr>
            <w:r>
              <w:rPr>
                <w:rFonts w:ascii="Arial" w:cs="Arial" w:eastAsia="Arial" w:hAnsi="Arial"/>
                <w:sz w:val="14"/>
                <w:szCs w:val="14"/>
                <w:color w:val="auto"/>
              </w:rPr>
              <w:t>Gross gains on debt securities</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2"/>
        </w:trPr>
        <w:tc>
          <w:tcPr>
            <w:tcW w:w="83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Gross (losses) on debt securities</w:t>
            </w:r>
            <w:r>
              <w:rPr>
                <w:rFonts w:ascii="Arial" w:cs="Arial" w:eastAsia="Arial" w:hAnsi="Arial"/>
                <w:sz w:val="18"/>
                <w:szCs w:val="18"/>
                <w:color w:val="auto"/>
                <w:vertAlign w:val="superscript"/>
              </w:rPr>
              <w:t>1</w:t>
            </w:r>
          </w:p>
        </w:tc>
        <w:tc>
          <w:tcPr>
            <w:tcW w:w="80" w:type="dxa"/>
            <w:vAlign w:val="bottom"/>
            <w:shd w:val="clear" w:color="auto" w:fill="E0E7ED"/>
          </w:tcPr>
          <w:p>
            <w:pPr>
              <w:spacing w:after="0"/>
              <w:rPr>
                <w:sz w:val="19"/>
                <w:szCs w:val="19"/>
                <w:color w:val="auto"/>
              </w:rPr>
            </w:pPr>
          </w:p>
        </w:tc>
        <w:tc>
          <w:tcPr>
            <w:tcW w:w="260" w:type="dxa"/>
            <w:vAlign w:val="bottom"/>
            <w:tcBorders>
              <w:bottom w:val="single" w:sz="8" w:color="auto"/>
            </w:tcBorders>
            <w:shd w:val="clear" w:color="auto" w:fill="E0E7ED"/>
          </w:tcPr>
          <w:p>
            <w:pPr>
              <w:spacing w:after="0"/>
              <w:rPr>
                <w:sz w:val="19"/>
                <w:szCs w:val="19"/>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(15,545)</w:t>
            </w:r>
          </w:p>
        </w:tc>
        <w:tc>
          <w:tcPr>
            <w:tcW w:w="100" w:type="dxa"/>
            <w:vAlign w:val="bottom"/>
            <w:shd w:val="clear" w:color="auto" w:fill="E0E7ED"/>
          </w:tcPr>
          <w:p>
            <w:pPr>
              <w:spacing w:after="0"/>
              <w:rPr>
                <w:sz w:val="19"/>
                <w:szCs w:val="19"/>
                <w:color w:val="auto"/>
              </w:rPr>
            </w:pPr>
          </w:p>
        </w:tc>
        <w:tc>
          <w:tcPr>
            <w:tcW w:w="520" w:type="dxa"/>
            <w:vAlign w:val="bottom"/>
            <w:tcBorders>
              <w:bottom w:val="single" w:sz="8" w:color="auto"/>
            </w:tcBorders>
            <w:shd w:val="clear" w:color="auto" w:fill="E0E7ED"/>
          </w:tcPr>
          <w:p>
            <w:pPr>
              <w:spacing w:after="0"/>
              <w:rPr>
                <w:sz w:val="19"/>
                <w:szCs w:val="19"/>
                <w:color w:val="auto"/>
              </w:rPr>
            </w:pPr>
          </w:p>
        </w:tc>
        <w:tc>
          <w:tcPr>
            <w:tcW w:w="8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(6,803)</w:t>
            </w:r>
          </w:p>
        </w:tc>
        <w:tc>
          <w:tcPr>
            <w:tcW w:w="0" w:type="dxa"/>
            <w:vAlign w:val="bottom"/>
          </w:tcPr>
          <w:p>
            <w:pPr>
              <w:spacing w:after="0"/>
              <w:rPr>
                <w:sz w:val="1"/>
                <w:szCs w:val="1"/>
                <w:color w:val="auto"/>
              </w:rPr>
            </w:pPr>
          </w:p>
        </w:tc>
      </w:tr>
      <w:tr>
        <w:trPr>
          <w:trHeight w:val="203"/>
        </w:trPr>
        <w:tc>
          <w:tcPr>
            <w:tcW w:w="8380" w:type="dxa"/>
            <w:vAlign w:val="bottom"/>
          </w:tcPr>
          <w:p>
            <w:pPr>
              <w:ind w:left="20"/>
              <w:spacing w:after="0"/>
              <w:rPr>
                <w:sz w:val="20"/>
                <w:szCs w:val="20"/>
                <w:color w:val="auto"/>
              </w:rPr>
            </w:pPr>
            <w:r>
              <w:rPr>
                <w:rFonts w:ascii="Arial" w:cs="Arial" w:eastAsia="Arial" w:hAnsi="Arial"/>
                <w:sz w:val="14"/>
                <w:szCs w:val="14"/>
                <w:color w:val="auto"/>
              </w:rPr>
              <w:t>Realized net gains (losses) on debt securities</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(15,537)</w:t>
            </w:r>
          </w:p>
        </w:tc>
        <w:tc>
          <w:tcPr>
            <w:tcW w:w="100" w:type="dxa"/>
            <w:vAlign w:val="bottom"/>
          </w:tcPr>
          <w:p>
            <w:pPr>
              <w:spacing w:after="0"/>
              <w:rPr>
                <w:sz w:val="17"/>
                <w:szCs w:val="17"/>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(6,802)</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380" w:hanging="248"/>
        <w:spacing w:after="0" w:line="284" w:lineRule="auto"/>
        <w:tabs>
          <w:tab w:leader="none" w:pos="400" w:val="left"/>
        </w:tabs>
        <w:numPr>
          <w:ilvl w:val="0"/>
          <w:numId w:val="8"/>
        </w:numPr>
        <w:rPr>
          <w:rFonts w:ascii="Arial" w:cs="Arial" w:eastAsia="Arial" w:hAnsi="Arial"/>
          <w:sz w:val="11"/>
          <w:szCs w:val="11"/>
          <w:color w:val="auto"/>
        </w:rPr>
      </w:pPr>
      <w:r>
        <w:rPr>
          <w:rFonts w:ascii="Arial" w:cs="Arial" w:eastAsia="Arial" w:hAnsi="Arial"/>
          <w:sz w:val="11"/>
          <w:szCs w:val="11"/>
          <w:color w:val="auto"/>
        </w:rPr>
        <w:t>During the first quarter of 2025, Busey sold available for sale debt securities with a book value of approximately $205.6 million for a pre-tax loss of $15.5 million, as part of a balance sheet repositioning strategy. During the first quarter of 2024, Busey sold available for sale debt securities with a book value of approximately $108.2 million for a pre-tax loss of $6.8 million, as part of a balance sheet repositioning strategy.</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Debt securities with carrying amounts of $695.3 million on March 31, 2025, and $871.4 million on December 31, 2024, were pledged as collateral for public deposits, securities sold under agreements to repurchase, and for other purposes as required.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Securities in an Unrealized or Unrecognized Loss Position</w:t>
      </w:r>
    </w:p>
    <w:p>
      <w:pPr>
        <w:spacing w:after="0" w:line="14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information pertains to debt securities with gross unrealized or unrecognized losses, aggregated by investment category and the length of time that individual securities have been in a continuous loss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ind w:left="280"/>
              <w:spacing w:after="0"/>
              <w:rPr>
                <w:sz w:val="20"/>
                <w:szCs w:val="20"/>
                <w:color w:val="auto"/>
              </w:rPr>
            </w:pPr>
            <w:r>
              <w:rPr>
                <w:rFonts w:ascii="Arial" w:cs="Arial" w:eastAsia="Arial" w:hAnsi="Arial"/>
                <w:sz w:val="11"/>
                <w:szCs w:val="11"/>
                <w:b w:val="1"/>
                <w:bCs w:val="1"/>
                <w:color w:val="auto"/>
              </w:rPr>
              <w:t>As of March 31, 2025</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9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1"/>
                <w:szCs w:val="11"/>
                <w:b w:val="1"/>
                <w:bCs w:val="1"/>
                <w:color w:val="auto"/>
              </w:rPr>
              <w:t>Less than 12 months</w:t>
            </w: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1"/>
                <w:szCs w:val="11"/>
                <w:b w:val="1"/>
                <w:bCs w:val="1"/>
                <w:color w:val="auto"/>
              </w:rPr>
              <w:t>12 months or more</w:t>
            </w: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Total</w:t>
            </w: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9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20" w:type="dxa"/>
            <w:vAlign w:val="bottom"/>
          </w:tcPr>
          <w:p>
            <w:pPr>
              <w:spacing w:after="0"/>
              <w:rPr>
                <w:sz w:val="9"/>
                <w:szCs w:val="9"/>
                <w:color w:val="auto"/>
              </w:rPr>
            </w:pPr>
          </w:p>
        </w:tc>
        <w:tc>
          <w:tcPr>
            <w:tcW w:w="840" w:type="dxa"/>
            <w:vAlign w:val="bottom"/>
            <w:gridSpan w:val="2"/>
          </w:tcPr>
          <w:p>
            <w:pPr>
              <w:jc w:val="center"/>
              <w:ind w:right="280"/>
              <w:spacing w:after="0" w:line="107" w:lineRule="exact"/>
              <w:rPr>
                <w:sz w:val="20"/>
                <w:szCs w:val="20"/>
                <w:color w:val="auto"/>
              </w:rPr>
            </w:pPr>
            <w:r>
              <w:rPr>
                <w:rFonts w:ascii="Arial" w:cs="Arial" w:eastAsia="Arial" w:hAnsi="Arial"/>
                <w:sz w:val="11"/>
                <w:szCs w:val="11"/>
                <w:b w:val="1"/>
                <w:bCs w:val="1"/>
                <w:color w:val="auto"/>
                <w:w w:val="98"/>
              </w:rPr>
              <w:t>Fair</w:t>
            </w:r>
          </w:p>
        </w:tc>
        <w:tc>
          <w:tcPr>
            <w:tcW w:w="160" w:type="dxa"/>
            <w:vAlign w:val="bottom"/>
          </w:tcPr>
          <w:p>
            <w:pPr>
              <w:spacing w:after="0"/>
              <w:rPr>
                <w:sz w:val="9"/>
                <w:szCs w:val="9"/>
                <w:color w:val="auto"/>
              </w:rPr>
            </w:pPr>
          </w:p>
        </w:tc>
        <w:tc>
          <w:tcPr>
            <w:tcW w:w="900" w:type="dxa"/>
            <w:vAlign w:val="bottom"/>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rPr>
              <w:t>Unrealized</w:t>
            </w:r>
          </w:p>
        </w:tc>
        <w:tc>
          <w:tcPr>
            <w:tcW w:w="200" w:type="dxa"/>
            <w:vAlign w:val="bottom"/>
          </w:tcPr>
          <w:p>
            <w:pPr>
              <w:spacing w:after="0"/>
              <w:rPr>
                <w:sz w:val="9"/>
                <w:szCs w:val="9"/>
                <w:color w:val="auto"/>
              </w:rPr>
            </w:pPr>
          </w:p>
        </w:tc>
        <w:tc>
          <w:tcPr>
            <w:tcW w:w="860" w:type="dxa"/>
            <w:vAlign w:val="bottom"/>
            <w:gridSpan w:val="2"/>
          </w:tcPr>
          <w:p>
            <w:pPr>
              <w:jc w:val="center"/>
              <w:ind w:right="260"/>
              <w:spacing w:after="0" w:line="107"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9"/>
                <w:szCs w:val="9"/>
                <w:color w:val="auto"/>
              </w:rPr>
            </w:pPr>
          </w:p>
        </w:tc>
        <w:tc>
          <w:tcPr>
            <w:tcW w:w="940" w:type="dxa"/>
            <w:vAlign w:val="bottom"/>
            <w:gridSpan w:val="2"/>
          </w:tcPr>
          <w:p>
            <w:pPr>
              <w:jc w:val="center"/>
              <w:ind w:right="180"/>
              <w:spacing w:after="0" w:line="107" w:lineRule="exact"/>
              <w:rPr>
                <w:sz w:val="20"/>
                <w:szCs w:val="20"/>
                <w:color w:val="auto"/>
              </w:rPr>
            </w:pPr>
            <w:r>
              <w:rPr>
                <w:rFonts w:ascii="Arial" w:cs="Arial" w:eastAsia="Arial" w:hAnsi="Arial"/>
                <w:sz w:val="11"/>
                <w:szCs w:val="11"/>
                <w:b w:val="1"/>
                <w:bCs w:val="1"/>
                <w:color w:val="auto"/>
              </w:rPr>
              <w:t>Unrealized</w:t>
            </w:r>
          </w:p>
        </w:tc>
        <w:tc>
          <w:tcPr>
            <w:tcW w:w="200" w:type="dxa"/>
            <w:vAlign w:val="bottom"/>
          </w:tcPr>
          <w:p>
            <w:pPr>
              <w:spacing w:after="0"/>
              <w:rPr>
                <w:sz w:val="9"/>
                <w:szCs w:val="9"/>
                <w:color w:val="auto"/>
              </w:rPr>
            </w:pPr>
          </w:p>
        </w:tc>
        <w:tc>
          <w:tcPr>
            <w:tcW w:w="860" w:type="dxa"/>
            <w:vAlign w:val="bottom"/>
            <w:gridSpan w:val="2"/>
          </w:tcPr>
          <w:p>
            <w:pPr>
              <w:jc w:val="center"/>
              <w:ind w:right="260"/>
              <w:spacing w:after="0" w:line="107"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9"/>
                <w:szCs w:val="9"/>
                <w:color w:val="auto"/>
              </w:rPr>
            </w:pPr>
          </w:p>
        </w:tc>
        <w:tc>
          <w:tcPr>
            <w:tcW w:w="880" w:type="dxa"/>
            <w:vAlign w:val="bottom"/>
          </w:tcPr>
          <w:p>
            <w:pPr>
              <w:jc w:val="center"/>
              <w:ind w:right="34"/>
              <w:spacing w:after="0" w:line="107" w:lineRule="exact"/>
              <w:rPr>
                <w:sz w:val="20"/>
                <w:szCs w:val="20"/>
                <w:color w:val="auto"/>
              </w:rPr>
            </w:pPr>
            <w:r>
              <w:rPr>
                <w:rFonts w:ascii="Arial" w:cs="Arial" w:eastAsia="Arial" w:hAnsi="Arial"/>
                <w:sz w:val="11"/>
                <w:szCs w:val="11"/>
                <w:b w:val="1"/>
                <w:bCs w:val="1"/>
                <w:color w:val="auto"/>
              </w:rPr>
              <w:t>Unrealized</w:t>
            </w:r>
          </w:p>
        </w:tc>
        <w:tc>
          <w:tcPr>
            <w:tcW w:w="0" w:type="dxa"/>
            <w:vAlign w:val="bottom"/>
          </w:tcPr>
          <w:p>
            <w:pPr>
              <w:spacing w:after="0"/>
              <w:rPr>
                <w:sz w:val="1"/>
                <w:szCs w:val="1"/>
                <w:color w:val="auto"/>
              </w:rPr>
            </w:pPr>
          </w:p>
        </w:tc>
      </w:tr>
      <w:tr>
        <w:trPr>
          <w:trHeight w:val="138"/>
        </w:trPr>
        <w:tc>
          <w:tcPr>
            <w:tcW w:w="4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Value</w:t>
            </w:r>
          </w:p>
        </w:tc>
        <w:tc>
          <w:tcPr>
            <w:tcW w:w="16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Losses</w:t>
            </w:r>
          </w:p>
        </w:tc>
        <w:tc>
          <w:tcPr>
            <w:tcW w:w="20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Value</w:t>
            </w:r>
          </w:p>
        </w:tc>
        <w:tc>
          <w:tcPr>
            <w:tcW w:w="12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Losses</w:t>
            </w:r>
          </w:p>
        </w:tc>
        <w:tc>
          <w:tcPr>
            <w:tcW w:w="20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Value</w:t>
            </w:r>
          </w:p>
        </w:tc>
        <w:tc>
          <w:tcPr>
            <w:tcW w:w="120" w:type="dxa"/>
            <w:vAlign w:val="bottom"/>
          </w:tcPr>
          <w:p>
            <w:pPr>
              <w:spacing w:after="0"/>
              <w:rPr>
                <w:sz w:val="11"/>
                <w:szCs w:val="11"/>
                <w:color w:val="auto"/>
              </w:rPr>
            </w:pPr>
          </w:p>
        </w:tc>
        <w:tc>
          <w:tcPr>
            <w:tcW w:w="880" w:type="dxa"/>
            <w:vAlign w:val="bottom"/>
          </w:tcPr>
          <w:p>
            <w:pPr>
              <w:jc w:val="center"/>
              <w:ind w:right="54"/>
              <w:spacing w:after="0"/>
              <w:rPr>
                <w:sz w:val="20"/>
                <w:szCs w:val="20"/>
                <w:color w:val="auto"/>
              </w:rPr>
            </w:pPr>
            <w:r>
              <w:rPr>
                <w:rFonts w:ascii="Arial" w:cs="Arial" w:eastAsia="Arial" w:hAnsi="Arial"/>
                <w:sz w:val="11"/>
                <w:szCs w:val="11"/>
                <w:b w:val="1"/>
                <w:bCs w:val="1"/>
                <w:color w:val="auto"/>
              </w:rPr>
              <w:t>Losses</w:t>
            </w:r>
          </w:p>
        </w:tc>
        <w:tc>
          <w:tcPr>
            <w:tcW w:w="0" w:type="dxa"/>
            <w:vAlign w:val="bottom"/>
          </w:tcPr>
          <w:p>
            <w:pPr>
              <w:spacing w:after="0"/>
              <w:rPr>
                <w:sz w:val="1"/>
                <w:szCs w:val="1"/>
                <w:color w:val="auto"/>
              </w:rPr>
            </w:pPr>
          </w:p>
        </w:tc>
      </w:tr>
      <w:tr>
        <w:trPr>
          <w:trHeight w:val="192"/>
        </w:trPr>
        <w:tc>
          <w:tcPr>
            <w:tcW w:w="49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Debt securities available for sale</w:t>
            </w:r>
          </w:p>
        </w:tc>
        <w:tc>
          <w:tcPr>
            <w:tcW w:w="220" w:type="dxa"/>
            <w:vAlign w:val="bottom"/>
            <w:tcBorders>
              <w:top w:val="single" w:sz="8" w:color="auto"/>
            </w:tcBorders>
            <w:shd w:val="clear" w:color="auto" w:fill="E0E7ED"/>
          </w:tcPr>
          <w:p>
            <w:pPr>
              <w:spacing w:after="0"/>
              <w:rPr>
                <w:sz w:val="16"/>
                <w:szCs w:val="16"/>
                <w:color w:val="auto"/>
              </w:rPr>
            </w:pPr>
          </w:p>
        </w:tc>
        <w:tc>
          <w:tcPr>
            <w:tcW w:w="78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60" w:type="dxa"/>
            <w:vAlign w:val="bottom"/>
            <w:tcBorders>
              <w:top w:val="single" w:sz="8" w:color="auto"/>
            </w:tcBorders>
            <w:shd w:val="clear" w:color="auto" w:fill="E0E7ED"/>
          </w:tcPr>
          <w:p>
            <w:pPr>
              <w:spacing w:after="0"/>
              <w:rPr>
                <w:sz w:val="16"/>
                <w:szCs w:val="16"/>
                <w:color w:val="auto"/>
              </w:rPr>
            </w:pPr>
          </w:p>
        </w:tc>
        <w:tc>
          <w:tcPr>
            <w:tcW w:w="84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200" w:type="dxa"/>
            <w:vAlign w:val="bottom"/>
            <w:tcBorders>
              <w:top w:val="single" w:sz="8" w:color="auto"/>
            </w:tcBorders>
            <w:shd w:val="clear" w:color="auto" w:fill="E0E7ED"/>
          </w:tcPr>
          <w:p>
            <w:pPr>
              <w:spacing w:after="0"/>
              <w:rPr>
                <w:sz w:val="16"/>
                <w:szCs w:val="16"/>
                <w:color w:val="auto"/>
              </w:rPr>
            </w:pPr>
          </w:p>
        </w:tc>
        <w:tc>
          <w:tcPr>
            <w:tcW w:w="80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20" w:type="dxa"/>
            <w:vAlign w:val="bottom"/>
            <w:tcBorders>
              <w:top w:val="single" w:sz="8" w:color="auto"/>
            </w:tcBorders>
            <w:shd w:val="clear" w:color="auto" w:fill="E0E7ED"/>
          </w:tcPr>
          <w:p>
            <w:pPr>
              <w:spacing w:after="0"/>
              <w:rPr>
                <w:sz w:val="16"/>
                <w:szCs w:val="16"/>
                <w:color w:val="auto"/>
              </w:rPr>
            </w:pPr>
          </w:p>
        </w:tc>
        <w:tc>
          <w:tcPr>
            <w:tcW w:w="88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200" w:type="dxa"/>
            <w:vAlign w:val="bottom"/>
            <w:tcBorders>
              <w:top w:val="single" w:sz="8" w:color="auto"/>
            </w:tcBorders>
            <w:shd w:val="clear" w:color="auto" w:fill="E0E7ED"/>
          </w:tcPr>
          <w:p>
            <w:pPr>
              <w:spacing w:after="0"/>
              <w:rPr>
                <w:sz w:val="16"/>
                <w:szCs w:val="16"/>
                <w:color w:val="auto"/>
              </w:rPr>
            </w:pPr>
          </w:p>
        </w:tc>
        <w:tc>
          <w:tcPr>
            <w:tcW w:w="80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20" w:type="dxa"/>
            <w:vAlign w:val="bottom"/>
            <w:tcBorders>
              <w:top w:val="single" w:sz="8" w:color="auto"/>
            </w:tcBorders>
            <w:shd w:val="clear" w:color="auto" w:fill="E0E7ED"/>
          </w:tcPr>
          <w:p>
            <w:pPr>
              <w:spacing w:after="0"/>
              <w:rPr>
                <w:sz w:val="16"/>
                <w:szCs w:val="16"/>
                <w:color w:val="auto"/>
              </w:rPr>
            </w:pPr>
          </w:p>
        </w:tc>
        <w:tc>
          <w:tcPr>
            <w:tcW w:w="88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80" w:type="dxa"/>
            <w:vAlign w:val="bottom"/>
          </w:tcPr>
          <w:p>
            <w:pPr>
              <w:ind w:left="140"/>
              <w:spacing w:after="0"/>
              <w:rPr>
                <w:sz w:val="20"/>
                <w:szCs w:val="20"/>
                <w:color w:val="auto"/>
              </w:rPr>
            </w:pPr>
            <w:r>
              <w:rPr>
                <w:rFonts w:ascii="Arial" w:cs="Arial" w:eastAsia="Arial" w:hAnsi="Arial"/>
                <w:sz w:val="14"/>
                <w:szCs w:val="14"/>
                <w:color w:val="auto"/>
              </w:rPr>
              <w:t>Obligations of U.S. government corporations and agencies</w:t>
            </w:r>
            <w:r>
              <w:rPr>
                <w:rFonts w:ascii="Arial" w:cs="Arial" w:eastAsia="Arial" w:hAnsi="Arial"/>
                <w:sz w:val="18"/>
                <w:szCs w:val="18"/>
                <w:color w:val="auto"/>
                <w:vertAlign w:val="superscript"/>
              </w:rPr>
              <w:t>1</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151</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8"/>
                <w:szCs w:val="18"/>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217</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2"/>
        </w:trPr>
        <w:tc>
          <w:tcPr>
            <w:tcW w:w="49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Obligations of states and political subdivisions</w:t>
            </w:r>
          </w:p>
        </w:tc>
        <w:tc>
          <w:tcPr>
            <w:tcW w:w="220" w:type="dxa"/>
            <w:vAlign w:val="bottom"/>
            <w:shd w:val="clear" w:color="auto" w:fill="E0E7ED"/>
          </w:tcPr>
          <w:p>
            <w:pPr>
              <w:spacing w:after="0"/>
              <w:rPr>
                <w:sz w:val="18"/>
                <w:szCs w:val="18"/>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130,434</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(5,962)</w:t>
            </w:r>
          </w:p>
        </w:tc>
        <w:tc>
          <w:tcPr>
            <w:tcW w:w="6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96,467</w:t>
            </w:r>
          </w:p>
        </w:tc>
        <w:tc>
          <w:tcPr>
            <w:tcW w:w="6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(12,641)</w:t>
            </w:r>
          </w:p>
        </w:tc>
        <w:tc>
          <w:tcPr>
            <w:tcW w:w="6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226,901</w:t>
            </w:r>
          </w:p>
        </w:tc>
        <w:tc>
          <w:tcPr>
            <w:tcW w:w="6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(18,603)</w:t>
            </w:r>
          </w:p>
        </w:tc>
        <w:tc>
          <w:tcPr>
            <w:tcW w:w="0" w:type="dxa"/>
            <w:vAlign w:val="bottom"/>
          </w:tcPr>
          <w:p>
            <w:pPr>
              <w:spacing w:after="0"/>
              <w:rPr>
                <w:sz w:val="1"/>
                <w:szCs w:val="1"/>
                <w:color w:val="auto"/>
              </w:rPr>
            </w:pPr>
          </w:p>
        </w:tc>
      </w:tr>
      <w:tr>
        <w:trPr>
          <w:trHeight w:val="202"/>
        </w:trPr>
        <w:tc>
          <w:tcPr>
            <w:tcW w:w="4980" w:type="dxa"/>
            <w:vAlign w:val="bottom"/>
          </w:tcPr>
          <w:p>
            <w:pPr>
              <w:ind w:left="140"/>
              <w:spacing w:after="0"/>
              <w:rPr>
                <w:sz w:val="20"/>
                <w:szCs w:val="20"/>
                <w:color w:val="auto"/>
              </w:rPr>
            </w:pPr>
            <w:r>
              <w:rPr>
                <w:rFonts w:ascii="Arial" w:cs="Arial" w:eastAsia="Arial" w:hAnsi="Arial"/>
                <w:sz w:val="14"/>
                <w:szCs w:val="14"/>
                <w:color w:val="auto"/>
              </w:rPr>
              <w:t>Commercial mortgage-backed securities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74,450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(12,760)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75,945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(12,762)</w:t>
            </w:r>
          </w:p>
        </w:tc>
        <w:tc>
          <w:tcPr>
            <w:tcW w:w="0" w:type="dxa"/>
            <w:vAlign w:val="bottom"/>
          </w:tcPr>
          <w:p>
            <w:pPr>
              <w:spacing w:after="0"/>
              <w:rPr>
                <w:sz w:val="1"/>
                <w:szCs w:val="1"/>
                <w:color w:val="auto"/>
              </w:rPr>
            </w:pPr>
          </w:p>
        </w:tc>
      </w:tr>
      <w:tr>
        <w:trPr>
          <w:trHeight w:val="222"/>
        </w:trPr>
        <w:tc>
          <w:tcPr>
            <w:tcW w:w="49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Residential mortgage-backed securities</w:t>
            </w: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247,106</w:t>
            </w:r>
          </w:p>
        </w:tc>
        <w:tc>
          <w:tcPr>
            <w:tcW w:w="60" w:type="dxa"/>
            <w:vAlign w:val="bottom"/>
            <w:shd w:val="clear" w:color="auto" w:fill="E0E7ED"/>
          </w:tcPr>
          <w:p>
            <w:pPr>
              <w:spacing w:after="0"/>
              <w:rPr>
                <w:sz w:val="19"/>
                <w:szCs w:val="19"/>
                <w:color w:val="auto"/>
              </w:rPr>
            </w:pPr>
          </w:p>
        </w:tc>
        <w:tc>
          <w:tcPr>
            <w:tcW w:w="16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(689)</w:t>
            </w:r>
          </w:p>
        </w:tc>
        <w:tc>
          <w:tcPr>
            <w:tcW w:w="6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810,718</w:t>
            </w:r>
          </w:p>
        </w:tc>
        <w:tc>
          <w:tcPr>
            <w:tcW w:w="6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(157,937)</w:t>
            </w:r>
          </w:p>
        </w:tc>
        <w:tc>
          <w:tcPr>
            <w:tcW w:w="6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1,057,824</w:t>
            </w:r>
          </w:p>
        </w:tc>
        <w:tc>
          <w:tcPr>
            <w:tcW w:w="6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(158,626)</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Corporate debt securities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w:t>
            </w:r>
          </w:p>
        </w:tc>
        <w:tc>
          <w:tcPr>
            <w:tcW w:w="60" w:type="dxa"/>
            <w:vAlign w:val="bottom"/>
            <w:tcBorders>
              <w:bottom w:val="single" w:sz="8" w:color="E0E7ED"/>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6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96,685</w:t>
            </w:r>
          </w:p>
        </w:tc>
        <w:tc>
          <w:tcPr>
            <w:tcW w:w="60" w:type="dxa"/>
            <w:vAlign w:val="bottom"/>
            <w:tcBorders>
              <w:bottom w:val="single" w:sz="8" w:color="E0E7E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(3,283)</w:t>
            </w:r>
          </w:p>
        </w:tc>
        <w:tc>
          <w:tcPr>
            <w:tcW w:w="6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97,601</w:t>
            </w:r>
          </w:p>
        </w:tc>
        <w:tc>
          <w:tcPr>
            <w:tcW w:w="60" w:type="dxa"/>
            <w:vAlign w:val="bottom"/>
            <w:tcBorders>
              <w:bottom w:val="single" w:sz="8" w:color="E0E7E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(3,304)</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Debt securities available for sale with gross unrealized losses</w:t>
            </w:r>
          </w:p>
        </w:tc>
        <w:tc>
          <w:tcPr>
            <w:tcW w:w="220" w:type="dxa"/>
            <w:vAlign w:val="bottom"/>
            <w:tcBorders>
              <w:bottom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380,017</w:t>
            </w:r>
          </w:p>
        </w:tc>
        <w:tc>
          <w:tcPr>
            <w:tcW w:w="6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(6,674)</w:t>
            </w:r>
          </w:p>
        </w:tc>
        <w:tc>
          <w:tcPr>
            <w:tcW w:w="6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1,078,471</w:t>
            </w:r>
          </w:p>
        </w:tc>
        <w:tc>
          <w:tcPr>
            <w:tcW w:w="60" w:type="dxa"/>
            <w:vAlign w:val="bottom"/>
            <w:tcBorders>
              <w:bottom w:val="single" w:sz="8" w:color="E0E7ED"/>
            </w:tcBorders>
            <w:shd w:val="clear" w:color="auto" w:fill="E0E7ED"/>
          </w:tcPr>
          <w:p>
            <w:pPr>
              <w:spacing w:after="0"/>
              <w:rPr>
                <w:sz w:val="20"/>
                <w:szCs w:val="20"/>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(186,623)</w:t>
            </w:r>
          </w:p>
        </w:tc>
        <w:tc>
          <w:tcPr>
            <w:tcW w:w="6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1,458,488</w:t>
            </w:r>
          </w:p>
        </w:tc>
        <w:tc>
          <w:tcPr>
            <w:tcW w:w="60" w:type="dxa"/>
            <w:vAlign w:val="bottom"/>
            <w:tcBorders>
              <w:bottom w:val="single" w:sz="8" w:color="E0E7ED"/>
            </w:tcBorders>
            <w:shd w:val="clear" w:color="auto" w:fill="E0E7ED"/>
          </w:tcPr>
          <w:p>
            <w:pPr>
              <w:spacing w:after="0"/>
              <w:rPr>
                <w:sz w:val="20"/>
                <w:szCs w:val="20"/>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(193,297)</w:t>
            </w:r>
          </w:p>
        </w:tc>
        <w:tc>
          <w:tcPr>
            <w:tcW w:w="0" w:type="dxa"/>
            <w:vAlign w:val="bottom"/>
          </w:tcPr>
          <w:p>
            <w:pPr>
              <w:spacing w:after="0"/>
              <w:rPr>
                <w:sz w:val="1"/>
                <w:szCs w:val="1"/>
                <w:color w:val="auto"/>
              </w:rPr>
            </w:pPr>
          </w:p>
        </w:tc>
      </w:tr>
      <w:tr>
        <w:trPr>
          <w:trHeight w:val="20"/>
        </w:trPr>
        <w:tc>
          <w:tcPr>
            <w:tcW w:w="49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78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84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000" w:type="dxa"/>
            <w:vAlign w:val="bottom"/>
            <w:tcBorders>
              <w:top w:val="single" w:sz="8" w:color="E0E7ED"/>
              <w:bottom w:val="single" w:sz="8" w:color="auto"/>
            </w:tcBorders>
            <w:gridSpan w:val="2"/>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1"/>
                <w:szCs w:val="11"/>
                <w:b w:val="1"/>
                <w:bCs w:val="1"/>
                <w:color w:val="auto"/>
              </w:rPr>
              <w:t>12 months or more</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tcPr>
          <w:p>
            <w:pPr>
              <w:jc w:val="center"/>
              <w:ind w:right="260"/>
              <w:spacing w:after="0" w:line="107"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9"/>
                <w:szCs w:val="9"/>
                <w:color w:val="auto"/>
              </w:rPr>
            </w:pPr>
          </w:p>
        </w:tc>
        <w:tc>
          <w:tcPr>
            <w:tcW w:w="940" w:type="dxa"/>
            <w:vAlign w:val="bottom"/>
            <w:gridSpan w:val="2"/>
          </w:tcPr>
          <w:p>
            <w:pPr>
              <w:jc w:val="center"/>
              <w:ind w:right="180"/>
              <w:spacing w:after="0" w:line="107" w:lineRule="exact"/>
              <w:rPr>
                <w:sz w:val="20"/>
                <w:szCs w:val="20"/>
                <w:color w:val="auto"/>
              </w:rPr>
            </w:pPr>
            <w:r>
              <w:rPr>
                <w:rFonts w:ascii="Arial" w:cs="Arial" w:eastAsia="Arial" w:hAnsi="Arial"/>
                <w:sz w:val="11"/>
                <w:szCs w:val="11"/>
                <w:b w:val="1"/>
                <w:bCs w:val="1"/>
                <w:color w:val="auto"/>
              </w:rPr>
              <w:t>Unrecognized</w:t>
            </w:r>
          </w:p>
        </w:tc>
        <w:tc>
          <w:tcPr>
            <w:tcW w:w="200" w:type="dxa"/>
            <w:vAlign w:val="bottom"/>
          </w:tcPr>
          <w:p>
            <w:pPr>
              <w:spacing w:after="0"/>
              <w:rPr>
                <w:sz w:val="9"/>
                <w:szCs w:val="9"/>
                <w:color w:val="auto"/>
              </w:rPr>
            </w:pPr>
          </w:p>
        </w:tc>
        <w:tc>
          <w:tcPr>
            <w:tcW w:w="860" w:type="dxa"/>
            <w:vAlign w:val="bottom"/>
            <w:gridSpan w:val="2"/>
          </w:tcPr>
          <w:p>
            <w:pPr>
              <w:jc w:val="center"/>
              <w:ind w:right="260"/>
              <w:spacing w:after="0" w:line="107"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9"/>
                <w:szCs w:val="9"/>
                <w:color w:val="auto"/>
              </w:rPr>
            </w:pPr>
          </w:p>
        </w:tc>
        <w:tc>
          <w:tcPr>
            <w:tcW w:w="880" w:type="dxa"/>
            <w:vAlign w:val="bottom"/>
          </w:tcPr>
          <w:p>
            <w:pPr>
              <w:jc w:val="center"/>
              <w:ind w:right="34"/>
              <w:spacing w:after="0" w:line="107" w:lineRule="exact"/>
              <w:rPr>
                <w:sz w:val="20"/>
                <w:szCs w:val="20"/>
                <w:color w:val="auto"/>
              </w:rPr>
            </w:pPr>
            <w:r>
              <w:rPr>
                <w:rFonts w:ascii="Arial" w:cs="Arial" w:eastAsia="Arial" w:hAnsi="Arial"/>
                <w:sz w:val="11"/>
                <w:szCs w:val="11"/>
                <w:b w:val="1"/>
                <w:bCs w:val="1"/>
                <w:color w:val="auto"/>
              </w:rPr>
              <w:t>Unrecognized</w:t>
            </w:r>
          </w:p>
        </w:tc>
        <w:tc>
          <w:tcPr>
            <w:tcW w:w="0" w:type="dxa"/>
            <w:vAlign w:val="bottom"/>
          </w:tcPr>
          <w:p>
            <w:pPr>
              <w:spacing w:after="0"/>
              <w:rPr>
                <w:sz w:val="1"/>
                <w:szCs w:val="1"/>
                <w:color w:val="auto"/>
              </w:rPr>
            </w:pPr>
          </w:p>
        </w:tc>
      </w:tr>
      <w:tr>
        <w:trPr>
          <w:trHeight w:val="138"/>
        </w:trPr>
        <w:tc>
          <w:tcPr>
            <w:tcW w:w="4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Value</w:t>
            </w:r>
          </w:p>
        </w:tc>
        <w:tc>
          <w:tcPr>
            <w:tcW w:w="12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Losses</w:t>
            </w:r>
          </w:p>
        </w:tc>
        <w:tc>
          <w:tcPr>
            <w:tcW w:w="20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Value</w:t>
            </w:r>
          </w:p>
        </w:tc>
        <w:tc>
          <w:tcPr>
            <w:tcW w:w="120" w:type="dxa"/>
            <w:vAlign w:val="bottom"/>
          </w:tcPr>
          <w:p>
            <w:pPr>
              <w:spacing w:after="0"/>
              <w:rPr>
                <w:sz w:val="11"/>
                <w:szCs w:val="11"/>
                <w:color w:val="auto"/>
              </w:rPr>
            </w:pPr>
          </w:p>
        </w:tc>
        <w:tc>
          <w:tcPr>
            <w:tcW w:w="880" w:type="dxa"/>
            <w:vAlign w:val="bottom"/>
          </w:tcPr>
          <w:p>
            <w:pPr>
              <w:jc w:val="center"/>
              <w:ind w:right="54"/>
              <w:spacing w:after="0"/>
              <w:rPr>
                <w:sz w:val="20"/>
                <w:szCs w:val="20"/>
                <w:color w:val="auto"/>
              </w:rPr>
            </w:pPr>
            <w:r>
              <w:rPr>
                <w:rFonts w:ascii="Arial" w:cs="Arial" w:eastAsia="Arial" w:hAnsi="Arial"/>
                <w:sz w:val="11"/>
                <w:szCs w:val="11"/>
                <w:b w:val="1"/>
                <w:bCs w:val="1"/>
                <w:color w:val="auto"/>
              </w:rPr>
              <w:t>Losses</w:t>
            </w:r>
          </w:p>
        </w:tc>
        <w:tc>
          <w:tcPr>
            <w:tcW w:w="0" w:type="dxa"/>
            <w:vAlign w:val="bottom"/>
          </w:tcPr>
          <w:p>
            <w:pPr>
              <w:spacing w:after="0"/>
              <w:rPr>
                <w:sz w:val="1"/>
                <w:szCs w:val="1"/>
                <w:color w:val="auto"/>
              </w:rPr>
            </w:pPr>
          </w:p>
        </w:tc>
      </w:tr>
      <w:tr>
        <w:trPr>
          <w:trHeight w:val="192"/>
        </w:trPr>
        <w:tc>
          <w:tcPr>
            <w:tcW w:w="49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Debt securities held to maturity</w:t>
            </w:r>
          </w:p>
        </w:tc>
        <w:tc>
          <w:tcPr>
            <w:tcW w:w="220" w:type="dxa"/>
            <w:vAlign w:val="bottom"/>
            <w:tcBorders>
              <w:top w:val="single" w:sz="8" w:color="E0E7ED"/>
            </w:tcBorders>
            <w:shd w:val="clear" w:color="auto" w:fill="E0E7ED"/>
          </w:tcPr>
          <w:p>
            <w:pPr>
              <w:spacing w:after="0"/>
              <w:rPr>
                <w:sz w:val="16"/>
                <w:szCs w:val="16"/>
                <w:color w:val="auto"/>
              </w:rPr>
            </w:pPr>
          </w:p>
        </w:tc>
        <w:tc>
          <w:tcPr>
            <w:tcW w:w="780" w:type="dxa"/>
            <w:vAlign w:val="bottom"/>
            <w:tcBorders>
              <w:top w:val="single" w:sz="8" w:color="E0E7ED"/>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60" w:type="dxa"/>
            <w:vAlign w:val="bottom"/>
            <w:tcBorders>
              <w:top w:val="single" w:sz="8" w:color="E0E7ED"/>
            </w:tcBorders>
            <w:shd w:val="clear" w:color="auto" w:fill="E0E7ED"/>
          </w:tcPr>
          <w:p>
            <w:pPr>
              <w:spacing w:after="0"/>
              <w:rPr>
                <w:sz w:val="16"/>
                <w:szCs w:val="16"/>
                <w:color w:val="auto"/>
              </w:rPr>
            </w:pPr>
          </w:p>
        </w:tc>
        <w:tc>
          <w:tcPr>
            <w:tcW w:w="840" w:type="dxa"/>
            <w:vAlign w:val="bottom"/>
            <w:tcBorders>
              <w:top w:val="single" w:sz="8" w:color="E0E7ED"/>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200" w:type="dxa"/>
            <w:vAlign w:val="bottom"/>
            <w:tcBorders>
              <w:top w:val="single" w:sz="8" w:color="auto"/>
            </w:tcBorders>
            <w:shd w:val="clear" w:color="auto" w:fill="E0E7ED"/>
          </w:tcPr>
          <w:p>
            <w:pPr>
              <w:spacing w:after="0"/>
              <w:rPr>
                <w:sz w:val="16"/>
                <w:szCs w:val="16"/>
                <w:color w:val="auto"/>
              </w:rPr>
            </w:pPr>
          </w:p>
        </w:tc>
        <w:tc>
          <w:tcPr>
            <w:tcW w:w="80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20" w:type="dxa"/>
            <w:vAlign w:val="bottom"/>
            <w:tcBorders>
              <w:top w:val="single" w:sz="8" w:color="auto"/>
            </w:tcBorders>
            <w:shd w:val="clear" w:color="auto" w:fill="E0E7ED"/>
          </w:tcPr>
          <w:p>
            <w:pPr>
              <w:spacing w:after="0"/>
              <w:rPr>
                <w:sz w:val="16"/>
                <w:szCs w:val="16"/>
                <w:color w:val="auto"/>
              </w:rPr>
            </w:pPr>
          </w:p>
        </w:tc>
        <w:tc>
          <w:tcPr>
            <w:tcW w:w="88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200" w:type="dxa"/>
            <w:vAlign w:val="bottom"/>
            <w:tcBorders>
              <w:top w:val="single" w:sz="8" w:color="auto"/>
            </w:tcBorders>
            <w:shd w:val="clear" w:color="auto" w:fill="E0E7ED"/>
          </w:tcPr>
          <w:p>
            <w:pPr>
              <w:spacing w:after="0"/>
              <w:rPr>
                <w:sz w:val="16"/>
                <w:szCs w:val="16"/>
                <w:color w:val="auto"/>
              </w:rPr>
            </w:pPr>
          </w:p>
        </w:tc>
        <w:tc>
          <w:tcPr>
            <w:tcW w:w="80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20" w:type="dxa"/>
            <w:vAlign w:val="bottom"/>
            <w:tcBorders>
              <w:top w:val="single" w:sz="8" w:color="auto"/>
            </w:tcBorders>
            <w:shd w:val="clear" w:color="auto" w:fill="E0E7ED"/>
          </w:tcPr>
          <w:p>
            <w:pPr>
              <w:spacing w:after="0"/>
              <w:rPr>
                <w:sz w:val="16"/>
                <w:szCs w:val="16"/>
                <w:color w:val="auto"/>
              </w:rPr>
            </w:pPr>
          </w:p>
        </w:tc>
        <w:tc>
          <w:tcPr>
            <w:tcW w:w="88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80" w:type="dxa"/>
            <w:vAlign w:val="bottom"/>
          </w:tcPr>
          <w:p>
            <w:pPr>
              <w:ind w:left="140"/>
              <w:spacing w:after="0"/>
              <w:rPr>
                <w:sz w:val="20"/>
                <w:szCs w:val="20"/>
                <w:color w:val="auto"/>
              </w:rPr>
            </w:pPr>
            <w:r>
              <w:rPr>
                <w:rFonts w:ascii="Arial" w:cs="Arial" w:eastAsia="Arial" w:hAnsi="Arial"/>
                <w:sz w:val="14"/>
                <w:szCs w:val="14"/>
                <w:color w:val="auto"/>
              </w:rPr>
              <w:t>Commercial mortgage-backed securities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340,222</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(71,458)</w:t>
            </w:r>
          </w:p>
        </w:tc>
        <w:tc>
          <w:tcPr>
            <w:tcW w:w="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340,222</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(71,458)</w:t>
            </w:r>
          </w:p>
        </w:tc>
        <w:tc>
          <w:tcPr>
            <w:tcW w:w="0" w:type="dxa"/>
            <w:vAlign w:val="bottom"/>
          </w:tcPr>
          <w:p>
            <w:pPr>
              <w:spacing w:after="0"/>
              <w:rPr>
                <w:sz w:val="1"/>
                <w:szCs w:val="1"/>
                <w:color w:val="auto"/>
              </w:rPr>
            </w:pPr>
          </w:p>
        </w:tc>
      </w:tr>
      <w:tr>
        <w:trPr>
          <w:trHeight w:val="213"/>
        </w:trPr>
        <w:tc>
          <w:tcPr>
            <w:tcW w:w="49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Residential mortgage-backed securities</w:t>
            </w:r>
          </w:p>
        </w:tc>
        <w:tc>
          <w:tcPr>
            <w:tcW w:w="220" w:type="dxa"/>
            <w:vAlign w:val="bottom"/>
            <w:shd w:val="clear" w:color="auto" w:fill="E0E7ED"/>
          </w:tcPr>
          <w:p>
            <w:pPr>
              <w:spacing w:after="0"/>
              <w:rPr>
                <w:sz w:val="18"/>
                <w:szCs w:val="18"/>
                <w:color w:val="auto"/>
              </w:rPr>
            </w:pPr>
          </w:p>
        </w:tc>
        <w:tc>
          <w:tcPr>
            <w:tcW w:w="78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84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338,248</w:t>
            </w:r>
          </w:p>
        </w:tc>
        <w:tc>
          <w:tcPr>
            <w:tcW w:w="60" w:type="dxa"/>
            <w:vAlign w:val="bottom"/>
            <w:shd w:val="clear" w:color="auto" w:fill="E0E7ED"/>
          </w:tcPr>
          <w:p>
            <w:pPr>
              <w:spacing w:after="0"/>
              <w:rPr>
                <w:sz w:val="18"/>
                <w:szCs w:val="18"/>
                <w:color w:val="auto"/>
              </w:rPr>
            </w:pPr>
          </w:p>
        </w:tc>
        <w:tc>
          <w:tcPr>
            <w:tcW w:w="120" w:type="dxa"/>
            <w:vAlign w:val="bottom"/>
            <w:tcBorders>
              <w:bottom w:val="single" w:sz="8" w:color="auto"/>
            </w:tcBorders>
            <w:shd w:val="clear" w:color="auto" w:fill="E0E7ED"/>
          </w:tcPr>
          <w:p>
            <w:pPr>
              <w:spacing w:after="0"/>
              <w:rPr>
                <w:sz w:val="18"/>
                <w:szCs w:val="18"/>
                <w:color w:val="auto"/>
              </w:rPr>
            </w:pP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(65,474)</w:t>
            </w:r>
          </w:p>
        </w:tc>
        <w:tc>
          <w:tcPr>
            <w:tcW w:w="6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338,248</w:t>
            </w:r>
          </w:p>
        </w:tc>
        <w:tc>
          <w:tcPr>
            <w:tcW w:w="60" w:type="dxa"/>
            <w:vAlign w:val="bottom"/>
            <w:shd w:val="clear" w:color="auto" w:fill="E0E7ED"/>
          </w:tcPr>
          <w:p>
            <w:pPr>
              <w:spacing w:after="0"/>
              <w:rPr>
                <w:sz w:val="18"/>
                <w:szCs w:val="18"/>
                <w:color w:val="auto"/>
              </w:rPr>
            </w:pPr>
          </w:p>
        </w:tc>
        <w:tc>
          <w:tcPr>
            <w:tcW w:w="120" w:type="dxa"/>
            <w:vAlign w:val="bottom"/>
            <w:tcBorders>
              <w:bottom w:val="single" w:sz="8" w:color="auto"/>
            </w:tcBorders>
            <w:shd w:val="clear" w:color="auto" w:fill="E0E7ED"/>
          </w:tcPr>
          <w:p>
            <w:pPr>
              <w:spacing w:after="0"/>
              <w:rPr>
                <w:sz w:val="18"/>
                <w:szCs w:val="18"/>
                <w:color w:val="auto"/>
              </w:rPr>
            </w:pP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(65,474)</w:t>
            </w:r>
          </w:p>
        </w:tc>
        <w:tc>
          <w:tcPr>
            <w:tcW w:w="0" w:type="dxa"/>
            <w:vAlign w:val="bottom"/>
          </w:tcPr>
          <w:p>
            <w:pPr>
              <w:spacing w:after="0"/>
              <w:rPr>
                <w:sz w:val="1"/>
                <w:szCs w:val="1"/>
                <w:color w:val="auto"/>
              </w:rPr>
            </w:pPr>
          </w:p>
        </w:tc>
      </w:tr>
      <w:tr>
        <w:trPr>
          <w:trHeight w:val="212"/>
        </w:trPr>
        <w:tc>
          <w:tcPr>
            <w:tcW w:w="4980" w:type="dxa"/>
            <w:vAlign w:val="bottom"/>
          </w:tcPr>
          <w:p>
            <w:pPr>
              <w:ind w:left="20"/>
              <w:spacing w:after="0"/>
              <w:rPr>
                <w:sz w:val="20"/>
                <w:szCs w:val="20"/>
                <w:color w:val="auto"/>
              </w:rPr>
            </w:pPr>
            <w:r>
              <w:rPr>
                <w:rFonts w:ascii="Arial" w:cs="Arial" w:eastAsia="Arial" w:hAnsi="Arial"/>
                <w:sz w:val="14"/>
                <w:szCs w:val="14"/>
                <w:color w:val="auto"/>
              </w:rPr>
              <w:t>Debt securities held to maturity with gross unrecognized losses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678,470</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(136,932)</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678,470</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(136,932)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9"/>
        </w:numPr>
        <w:rPr>
          <w:rFonts w:ascii="Arial" w:cs="Arial" w:eastAsia="Arial" w:hAnsi="Arial"/>
          <w:sz w:val="11"/>
          <w:szCs w:val="11"/>
          <w:color w:val="auto"/>
        </w:rPr>
      </w:pPr>
      <w:r>
        <w:rPr>
          <w:rFonts w:ascii="Arial" w:cs="Arial" w:eastAsia="Arial" w:hAnsi="Arial"/>
          <w:sz w:val="11"/>
          <w:szCs w:val="11"/>
          <w:color w:val="auto"/>
        </w:rPr>
        <w:t>Gross losses for securities in a loss position for less than 12 months were insignificant, rounding to zero thousand.</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9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b w:val="1"/>
                <w:bCs w:val="1"/>
                <w:color w:val="auto"/>
              </w:rPr>
              <w:t>As of December 31, 2024</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9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1"/>
                <w:szCs w:val="11"/>
                <w:b w:val="1"/>
                <w:bCs w:val="1"/>
                <w:color w:val="auto"/>
              </w:rPr>
              <w:t>Less than 12 months</w:t>
            </w: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1"/>
                <w:szCs w:val="11"/>
                <w:b w:val="1"/>
                <w:bCs w:val="1"/>
                <w:color w:val="auto"/>
              </w:rPr>
              <w:t>12 months or more</w:t>
            </w: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Total</w:t>
            </w: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9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20" w:type="dxa"/>
            <w:vAlign w:val="bottom"/>
          </w:tcPr>
          <w:p>
            <w:pPr>
              <w:spacing w:after="0"/>
              <w:rPr>
                <w:sz w:val="9"/>
                <w:szCs w:val="9"/>
                <w:color w:val="auto"/>
              </w:rPr>
            </w:pPr>
          </w:p>
        </w:tc>
        <w:tc>
          <w:tcPr>
            <w:tcW w:w="840" w:type="dxa"/>
            <w:vAlign w:val="bottom"/>
            <w:gridSpan w:val="2"/>
          </w:tcPr>
          <w:p>
            <w:pPr>
              <w:jc w:val="center"/>
              <w:ind w:right="280"/>
              <w:spacing w:after="0" w:line="107" w:lineRule="exact"/>
              <w:rPr>
                <w:sz w:val="20"/>
                <w:szCs w:val="20"/>
                <w:color w:val="auto"/>
              </w:rPr>
            </w:pPr>
            <w:r>
              <w:rPr>
                <w:rFonts w:ascii="Arial" w:cs="Arial" w:eastAsia="Arial" w:hAnsi="Arial"/>
                <w:sz w:val="11"/>
                <w:szCs w:val="11"/>
                <w:b w:val="1"/>
                <w:bCs w:val="1"/>
                <w:color w:val="auto"/>
                <w:w w:val="98"/>
              </w:rPr>
              <w:t>Fair</w:t>
            </w:r>
          </w:p>
        </w:tc>
        <w:tc>
          <w:tcPr>
            <w:tcW w:w="160" w:type="dxa"/>
            <w:vAlign w:val="bottom"/>
          </w:tcPr>
          <w:p>
            <w:pPr>
              <w:spacing w:after="0"/>
              <w:rPr>
                <w:sz w:val="9"/>
                <w:szCs w:val="9"/>
                <w:color w:val="auto"/>
              </w:rPr>
            </w:pPr>
          </w:p>
        </w:tc>
        <w:tc>
          <w:tcPr>
            <w:tcW w:w="900" w:type="dxa"/>
            <w:vAlign w:val="bottom"/>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rPr>
              <w:t>Unrealized</w:t>
            </w:r>
          </w:p>
        </w:tc>
        <w:tc>
          <w:tcPr>
            <w:tcW w:w="200" w:type="dxa"/>
            <w:vAlign w:val="bottom"/>
          </w:tcPr>
          <w:p>
            <w:pPr>
              <w:spacing w:after="0"/>
              <w:rPr>
                <w:sz w:val="9"/>
                <w:szCs w:val="9"/>
                <w:color w:val="auto"/>
              </w:rPr>
            </w:pPr>
          </w:p>
        </w:tc>
        <w:tc>
          <w:tcPr>
            <w:tcW w:w="860" w:type="dxa"/>
            <w:vAlign w:val="bottom"/>
            <w:gridSpan w:val="2"/>
          </w:tcPr>
          <w:p>
            <w:pPr>
              <w:jc w:val="center"/>
              <w:ind w:right="260"/>
              <w:spacing w:after="0" w:line="107"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9"/>
                <w:szCs w:val="9"/>
                <w:color w:val="auto"/>
              </w:rPr>
            </w:pPr>
          </w:p>
        </w:tc>
        <w:tc>
          <w:tcPr>
            <w:tcW w:w="940" w:type="dxa"/>
            <w:vAlign w:val="bottom"/>
            <w:gridSpan w:val="2"/>
          </w:tcPr>
          <w:p>
            <w:pPr>
              <w:jc w:val="center"/>
              <w:ind w:right="180"/>
              <w:spacing w:after="0" w:line="107" w:lineRule="exact"/>
              <w:rPr>
                <w:sz w:val="20"/>
                <w:szCs w:val="20"/>
                <w:color w:val="auto"/>
              </w:rPr>
            </w:pPr>
            <w:r>
              <w:rPr>
                <w:rFonts w:ascii="Arial" w:cs="Arial" w:eastAsia="Arial" w:hAnsi="Arial"/>
                <w:sz w:val="11"/>
                <w:szCs w:val="11"/>
                <w:b w:val="1"/>
                <w:bCs w:val="1"/>
                <w:color w:val="auto"/>
              </w:rPr>
              <w:t>Unrealized</w:t>
            </w:r>
          </w:p>
        </w:tc>
        <w:tc>
          <w:tcPr>
            <w:tcW w:w="200" w:type="dxa"/>
            <w:vAlign w:val="bottom"/>
          </w:tcPr>
          <w:p>
            <w:pPr>
              <w:spacing w:after="0"/>
              <w:rPr>
                <w:sz w:val="9"/>
                <w:szCs w:val="9"/>
                <w:color w:val="auto"/>
              </w:rPr>
            </w:pPr>
          </w:p>
        </w:tc>
        <w:tc>
          <w:tcPr>
            <w:tcW w:w="860" w:type="dxa"/>
            <w:vAlign w:val="bottom"/>
            <w:gridSpan w:val="2"/>
          </w:tcPr>
          <w:p>
            <w:pPr>
              <w:jc w:val="center"/>
              <w:ind w:right="260"/>
              <w:spacing w:after="0" w:line="107"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9"/>
                <w:szCs w:val="9"/>
                <w:color w:val="auto"/>
              </w:rPr>
            </w:pPr>
          </w:p>
        </w:tc>
        <w:tc>
          <w:tcPr>
            <w:tcW w:w="880" w:type="dxa"/>
            <w:vAlign w:val="bottom"/>
          </w:tcPr>
          <w:p>
            <w:pPr>
              <w:jc w:val="center"/>
              <w:ind w:right="33"/>
              <w:spacing w:after="0" w:line="107" w:lineRule="exact"/>
              <w:rPr>
                <w:sz w:val="20"/>
                <w:szCs w:val="20"/>
                <w:color w:val="auto"/>
              </w:rPr>
            </w:pPr>
            <w:r>
              <w:rPr>
                <w:rFonts w:ascii="Arial" w:cs="Arial" w:eastAsia="Arial" w:hAnsi="Arial"/>
                <w:sz w:val="11"/>
                <w:szCs w:val="11"/>
                <w:b w:val="1"/>
                <w:bCs w:val="1"/>
                <w:color w:val="auto"/>
              </w:rPr>
              <w:t>Unrealized</w:t>
            </w:r>
          </w:p>
        </w:tc>
        <w:tc>
          <w:tcPr>
            <w:tcW w:w="0" w:type="dxa"/>
            <w:vAlign w:val="bottom"/>
          </w:tcPr>
          <w:p>
            <w:pPr>
              <w:spacing w:after="0"/>
              <w:rPr>
                <w:sz w:val="1"/>
                <w:szCs w:val="1"/>
                <w:color w:val="auto"/>
              </w:rPr>
            </w:pPr>
          </w:p>
        </w:tc>
      </w:tr>
      <w:tr>
        <w:trPr>
          <w:trHeight w:val="138"/>
        </w:trPr>
        <w:tc>
          <w:tcPr>
            <w:tcW w:w="4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Value</w:t>
            </w:r>
          </w:p>
        </w:tc>
        <w:tc>
          <w:tcPr>
            <w:tcW w:w="16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Losses</w:t>
            </w:r>
          </w:p>
        </w:tc>
        <w:tc>
          <w:tcPr>
            <w:tcW w:w="20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Value</w:t>
            </w:r>
          </w:p>
        </w:tc>
        <w:tc>
          <w:tcPr>
            <w:tcW w:w="12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Losses</w:t>
            </w:r>
          </w:p>
        </w:tc>
        <w:tc>
          <w:tcPr>
            <w:tcW w:w="20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Value</w:t>
            </w:r>
          </w:p>
        </w:tc>
        <w:tc>
          <w:tcPr>
            <w:tcW w:w="120" w:type="dxa"/>
            <w:vAlign w:val="bottom"/>
          </w:tcPr>
          <w:p>
            <w:pPr>
              <w:spacing w:after="0"/>
              <w:rPr>
                <w:sz w:val="11"/>
                <w:szCs w:val="11"/>
                <w:color w:val="auto"/>
              </w:rPr>
            </w:pPr>
          </w:p>
        </w:tc>
        <w:tc>
          <w:tcPr>
            <w:tcW w:w="880" w:type="dxa"/>
            <w:vAlign w:val="bottom"/>
          </w:tcPr>
          <w:p>
            <w:pPr>
              <w:jc w:val="center"/>
              <w:ind w:right="53"/>
              <w:spacing w:after="0"/>
              <w:rPr>
                <w:sz w:val="20"/>
                <w:szCs w:val="20"/>
                <w:color w:val="auto"/>
              </w:rPr>
            </w:pPr>
            <w:r>
              <w:rPr>
                <w:rFonts w:ascii="Arial" w:cs="Arial" w:eastAsia="Arial" w:hAnsi="Arial"/>
                <w:sz w:val="11"/>
                <w:szCs w:val="11"/>
                <w:b w:val="1"/>
                <w:bCs w:val="1"/>
                <w:color w:val="auto"/>
              </w:rPr>
              <w:t>Losses</w:t>
            </w:r>
          </w:p>
        </w:tc>
        <w:tc>
          <w:tcPr>
            <w:tcW w:w="0" w:type="dxa"/>
            <w:vAlign w:val="bottom"/>
          </w:tcPr>
          <w:p>
            <w:pPr>
              <w:spacing w:after="0"/>
              <w:rPr>
                <w:sz w:val="1"/>
                <w:szCs w:val="1"/>
                <w:color w:val="auto"/>
              </w:rPr>
            </w:pPr>
          </w:p>
        </w:tc>
      </w:tr>
      <w:tr>
        <w:trPr>
          <w:trHeight w:val="192"/>
        </w:trPr>
        <w:tc>
          <w:tcPr>
            <w:tcW w:w="49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Debt securities available for sale</w:t>
            </w:r>
          </w:p>
        </w:tc>
        <w:tc>
          <w:tcPr>
            <w:tcW w:w="220" w:type="dxa"/>
            <w:vAlign w:val="bottom"/>
            <w:tcBorders>
              <w:top w:val="single" w:sz="8" w:color="auto"/>
            </w:tcBorders>
            <w:shd w:val="clear" w:color="auto" w:fill="E0E7ED"/>
          </w:tcPr>
          <w:p>
            <w:pPr>
              <w:spacing w:after="0"/>
              <w:rPr>
                <w:sz w:val="16"/>
                <w:szCs w:val="16"/>
                <w:color w:val="auto"/>
              </w:rPr>
            </w:pPr>
          </w:p>
        </w:tc>
        <w:tc>
          <w:tcPr>
            <w:tcW w:w="78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60" w:type="dxa"/>
            <w:vAlign w:val="bottom"/>
            <w:tcBorders>
              <w:top w:val="single" w:sz="8" w:color="auto"/>
            </w:tcBorders>
            <w:shd w:val="clear" w:color="auto" w:fill="E0E7ED"/>
          </w:tcPr>
          <w:p>
            <w:pPr>
              <w:spacing w:after="0"/>
              <w:rPr>
                <w:sz w:val="16"/>
                <w:szCs w:val="16"/>
                <w:color w:val="auto"/>
              </w:rPr>
            </w:pPr>
          </w:p>
        </w:tc>
        <w:tc>
          <w:tcPr>
            <w:tcW w:w="84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200" w:type="dxa"/>
            <w:vAlign w:val="bottom"/>
            <w:tcBorders>
              <w:top w:val="single" w:sz="8" w:color="auto"/>
            </w:tcBorders>
            <w:shd w:val="clear" w:color="auto" w:fill="E0E7ED"/>
          </w:tcPr>
          <w:p>
            <w:pPr>
              <w:spacing w:after="0"/>
              <w:rPr>
                <w:sz w:val="16"/>
                <w:szCs w:val="16"/>
                <w:color w:val="auto"/>
              </w:rPr>
            </w:pPr>
          </w:p>
        </w:tc>
        <w:tc>
          <w:tcPr>
            <w:tcW w:w="80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20" w:type="dxa"/>
            <w:vAlign w:val="bottom"/>
            <w:tcBorders>
              <w:top w:val="single" w:sz="8" w:color="auto"/>
            </w:tcBorders>
            <w:shd w:val="clear" w:color="auto" w:fill="E0E7ED"/>
          </w:tcPr>
          <w:p>
            <w:pPr>
              <w:spacing w:after="0"/>
              <w:rPr>
                <w:sz w:val="16"/>
                <w:szCs w:val="16"/>
                <w:color w:val="auto"/>
              </w:rPr>
            </w:pPr>
          </w:p>
        </w:tc>
        <w:tc>
          <w:tcPr>
            <w:tcW w:w="88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200" w:type="dxa"/>
            <w:vAlign w:val="bottom"/>
            <w:tcBorders>
              <w:top w:val="single" w:sz="8" w:color="auto"/>
            </w:tcBorders>
            <w:shd w:val="clear" w:color="auto" w:fill="E0E7ED"/>
          </w:tcPr>
          <w:p>
            <w:pPr>
              <w:spacing w:after="0"/>
              <w:rPr>
                <w:sz w:val="16"/>
                <w:szCs w:val="16"/>
                <w:color w:val="auto"/>
              </w:rPr>
            </w:pPr>
          </w:p>
        </w:tc>
        <w:tc>
          <w:tcPr>
            <w:tcW w:w="80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20" w:type="dxa"/>
            <w:vAlign w:val="bottom"/>
            <w:tcBorders>
              <w:top w:val="single" w:sz="8" w:color="auto"/>
            </w:tcBorders>
            <w:shd w:val="clear" w:color="auto" w:fill="E0E7ED"/>
          </w:tcPr>
          <w:p>
            <w:pPr>
              <w:spacing w:after="0"/>
              <w:rPr>
                <w:sz w:val="16"/>
                <w:szCs w:val="16"/>
                <w:color w:val="auto"/>
              </w:rPr>
            </w:pPr>
          </w:p>
        </w:tc>
        <w:tc>
          <w:tcPr>
            <w:tcW w:w="88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80" w:type="dxa"/>
            <w:vAlign w:val="bottom"/>
          </w:tcPr>
          <w:p>
            <w:pPr>
              <w:ind w:left="140"/>
              <w:spacing w:after="0"/>
              <w:rPr>
                <w:sz w:val="20"/>
                <w:szCs w:val="20"/>
                <w:color w:val="auto"/>
              </w:rPr>
            </w:pPr>
            <w:r>
              <w:rPr>
                <w:rFonts w:ascii="Arial" w:cs="Arial" w:eastAsia="Arial" w:hAnsi="Arial"/>
                <w:sz w:val="14"/>
                <w:szCs w:val="14"/>
                <w:color w:val="auto"/>
              </w:rPr>
              <w:t>Obligations of U.S. government corporations and agencies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1,328</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1,328</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22"/>
        </w:trPr>
        <w:tc>
          <w:tcPr>
            <w:tcW w:w="49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Obligations of states and political subdivisions</w:t>
            </w: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11,234</w:t>
            </w:r>
          </w:p>
        </w:tc>
        <w:tc>
          <w:tcPr>
            <w:tcW w:w="60" w:type="dxa"/>
            <w:vAlign w:val="bottom"/>
            <w:shd w:val="clear" w:color="auto" w:fill="E0E7ED"/>
          </w:tcPr>
          <w:p>
            <w:pPr>
              <w:spacing w:after="0"/>
              <w:rPr>
                <w:sz w:val="19"/>
                <w:szCs w:val="19"/>
                <w:color w:val="auto"/>
              </w:rPr>
            </w:pPr>
          </w:p>
        </w:tc>
        <w:tc>
          <w:tcPr>
            <w:tcW w:w="16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(209)</w:t>
            </w:r>
          </w:p>
        </w:tc>
        <w:tc>
          <w:tcPr>
            <w:tcW w:w="6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119,723</w:t>
            </w:r>
          </w:p>
        </w:tc>
        <w:tc>
          <w:tcPr>
            <w:tcW w:w="6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(16,527)</w:t>
            </w:r>
          </w:p>
        </w:tc>
        <w:tc>
          <w:tcPr>
            <w:tcW w:w="6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130,957</w:t>
            </w:r>
          </w:p>
        </w:tc>
        <w:tc>
          <w:tcPr>
            <w:tcW w:w="6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(16,736)</w:t>
            </w:r>
          </w:p>
        </w:tc>
        <w:tc>
          <w:tcPr>
            <w:tcW w:w="0" w:type="dxa"/>
            <w:vAlign w:val="bottom"/>
          </w:tcPr>
          <w:p>
            <w:pPr>
              <w:spacing w:after="0"/>
              <w:rPr>
                <w:sz w:val="1"/>
                <w:szCs w:val="1"/>
                <w:color w:val="auto"/>
              </w:rPr>
            </w:pPr>
          </w:p>
        </w:tc>
      </w:tr>
      <w:tr>
        <w:trPr>
          <w:trHeight w:val="202"/>
        </w:trPr>
        <w:tc>
          <w:tcPr>
            <w:tcW w:w="4980" w:type="dxa"/>
            <w:vAlign w:val="bottom"/>
          </w:tcPr>
          <w:p>
            <w:pPr>
              <w:ind w:left="140"/>
              <w:spacing w:after="0"/>
              <w:rPr>
                <w:sz w:val="20"/>
                <w:szCs w:val="20"/>
                <w:color w:val="auto"/>
              </w:rPr>
            </w:pPr>
            <w:r>
              <w:rPr>
                <w:rFonts w:ascii="Arial" w:cs="Arial" w:eastAsia="Arial" w:hAnsi="Arial"/>
                <w:sz w:val="14"/>
                <w:szCs w:val="14"/>
                <w:color w:val="auto"/>
              </w:rPr>
              <w:t>Asset-backed securities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14,997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2"/>
        </w:trPr>
        <w:tc>
          <w:tcPr>
            <w:tcW w:w="49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Commercial mortgage-backed securities</w:t>
            </w: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6,238</w:t>
            </w:r>
          </w:p>
        </w:tc>
        <w:tc>
          <w:tcPr>
            <w:tcW w:w="60" w:type="dxa"/>
            <w:vAlign w:val="bottom"/>
            <w:shd w:val="clear" w:color="auto" w:fill="E0E7ED"/>
          </w:tcPr>
          <w:p>
            <w:pPr>
              <w:spacing w:after="0"/>
              <w:rPr>
                <w:sz w:val="19"/>
                <w:szCs w:val="19"/>
                <w:color w:val="auto"/>
              </w:rPr>
            </w:pPr>
          </w:p>
        </w:tc>
        <w:tc>
          <w:tcPr>
            <w:tcW w:w="16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(42)</w:t>
            </w:r>
          </w:p>
        </w:tc>
        <w:tc>
          <w:tcPr>
            <w:tcW w:w="6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85,936</w:t>
            </w:r>
          </w:p>
        </w:tc>
        <w:tc>
          <w:tcPr>
            <w:tcW w:w="6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(15,089)</w:t>
            </w:r>
          </w:p>
        </w:tc>
        <w:tc>
          <w:tcPr>
            <w:tcW w:w="6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92,174</w:t>
            </w:r>
          </w:p>
        </w:tc>
        <w:tc>
          <w:tcPr>
            <w:tcW w:w="6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(15,131)</w:t>
            </w:r>
          </w:p>
        </w:tc>
        <w:tc>
          <w:tcPr>
            <w:tcW w:w="0" w:type="dxa"/>
            <w:vAlign w:val="bottom"/>
          </w:tcPr>
          <w:p>
            <w:pPr>
              <w:spacing w:after="0"/>
              <w:rPr>
                <w:sz w:val="1"/>
                <w:szCs w:val="1"/>
                <w:color w:val="auto"/>
              </w:rPr>
            </w:pPr>
          </w:p>
        </w:tc>
      </w:tr>
      <w:tr>
        <w:trPr>
          <w:trHeight w:val="202"/>
        </w:trPr>
        <w:tc>
          <w:tcPr>
            <w:tcW w:w="4980" w:type="dxa"/>
            <w:vAlign w:val="bottom"/>
          </w:tcPr>
          <w:p>
            <w:pPr>
              <w:ind w:left="140"/>
              <w:spacing w:after="0"/>
              <w:rPr>
                <w:sz w:val="20"/>
                <w:szCs w:val="20"/>
                <w:color w:val="auto"/>
              </w:rPr>
            </w:pPr>
            <w:r>
              <w:rPr>
                <w:rFonts w:ascii="Arial" w:cs="Arial" w:eastAsia="Arial" w:hAnsi="Arial"/>
                <w:sz w:val="14"/>
                <w:szCs w:val="14"/>
                <w:color w:val="auto"/>
              </w:rPr>
              <w:t>Residential mortgage-backed securities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152,081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930,642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(191,259)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1,082,723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(191,899)</w:t>
            </w:r>
          </w:p>
        </w:tc>
        <w:tc>
          <w:tcPr>
            <w:tcW w:w="0" w:type="dxa"/>
            <w:vAlign w:val="bottom"/>
          </w:tcPr>
          <w:p>
            <w:pPr>
              <w:spacing w:after="0"/>
              <w:rPr>
                <w:sz w:val="1"/>
                <w:szCs w:val="1"/>
                <w:color w:val="auto"/>
              </w:rPr>
            </w:pPr>
          </w:p>
        </w:tc>
      </w:tr>
      <w:tr>
        <w:trPr>
          <w:trHeight w:val="213"/>
        </w:trPr>
        <w:tc>
          <w:tcPr>
            <w:tcW w:w="49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Corporate debt securities</w:t>
            </w:r>
          </w:p>
        </w:tc>
        <w:tc>
          <w:tcPr>
            <w:tcW w:w="220" w:type="dxa"/>
            <w:vAlign w:val="bottom"/>
            <w:tcBorders>
              <w:bottom w:val="single" w:sz="8" w:color="auto"/>
            </w:tcBorders>
            <w:shd w:val="clear" w:color="auto" w:fill="E0E7ED"/>
          </w:tcPr>
          <w:p>
            <w:pPr>
              <w:spacing w:after="0"/>
              <w:rPr>
                <w:sz w:val="18"/>
                <w:szCs w:val="18"/>
                <w:color w:val="auto"/>
              </w:rPr>
            </w:pPr>
          </w:p>
        </w:tc>
        <w:tc>
          <w:tcPr>
            <w:tcW w:w="7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598</w:t>
            </w:r>
          </w:p>
        </w:tc>
        <w:tc>
          <w:tcPr>
            <w:tcW w:w="60" w:type="dxa"/>
            <w:vAlign w:val="bottom"/>
            <w:shd w:val="clear" w:color="auto" w:fill="E0E7ED"/>
          </w:tcPr>
          <w:p>
            <w:pPr>
              <w:spacing w:after="0"/>
              <w:rPr>
                <w:sz w:val="18"/>
                <w:szCs w:val="18"/>
                <w:color w:val="auto"/>
              </w:rPr>
            </w:pPr>
          </w:p>
        </w:tc>
        <w:tc>
          <w:tcPr>
            <w:tcW w:w="160" w:type="dxa"/>
            <w:vAlign w:val="bottom"/>
            <w:tcBorders>
              <w:bottom w:val="single" w:sz="8" w:color="auto"/>
            </w:tcBorders>
            <w:shd w:val="clear" w:color="auto" w:fill="E0E7ED"/>
          </w:tcPr>
          <w:p>
            <w:pPr>
              <w:spacing w:after="0"/>
              <w:rPr>
                <w:sz w:val="18"/>
                <w:szCs w:val="18"/>
                <w:color w:val="auto"/>
              </w:rPr>
            </w:pPr>
          </w:p>
        </w:tc>
        <w:tc>
          <w:tcPr>
            <w:tcW w:w="8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143,966</w:t>
            </w:r>
          </w:p>
        </w:tc>
        <w:tc>
          <w:tcPr>
            <w:tcW w:w="60" w:type="dxa"/>
            <w:vAlign w:val="bottom"/>
            <w:shd w:val="clear" w:color="auto" w:fill="E0E7ED"/>
          </w:tcPr>
          <w:p>
            <w:pPr>
              <w:spacing w:after="0"/>
              <w:rPr>
                <w:sz w:val="18"/>
                <w:szCs w:val="18"/>
                <w:color w:val="auto"/>
              </w:rPr>
            </w:pPr>
          </w:p>
        </w:tc>
        <w:tc>
          <w:tcPr>
            <w:tcW w:w="120" w:type="dxa"/>
            <w:vAlign w:val="bottom"/>
            <w:tcBorders>
              <w:bottom w:val="single" w:sz="8" w:color="auto"/>
            </w:tcBorders>
            <w:shd w:val="clear" w:color="auto" w:fill="E0E7ED"/>
          </w:tcPr>
          <w:p>
            <w:pPr>
              <w:spacing w:after="0"/>
              <w:rPr>
                <w:sz w:val="18"/>
                <w:szCs w:val="18"/>
                <w:color w:val="auto"/>
              </w:rPr>
            </w:pP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(6,547)</w:t>
            </w:r>
          </w:p>
        </w:tc>
        <w:tc>
          <w:tcPr>
            <w:tcW w:w="6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144,564</w:t>
            </w:r>
          </w:p>
        </w:tc>
        <w:tc>
          <w:tcPr>
            <w:tcW w:w="60" w:type="dxa"/>
            <w:vAlign w:val="bottom"/>
            <w:shd w:val="clear" w:color="auto" w:fill="E0E7ED"/>
          </w:tcPr>
          <w:p>
            <w:pPr>
              <w:spacing w:after="0"/>
              <w:rPr>
                <w:sz w:val="18"/>
                <w:szCs w:val="18"/>
                <w:color w:val="auto"/>
              </w:rPr>
            </w:pPr>
          </w:p>
        </w:tc>
        <w:tc>
          <w:tcPr>
            <w:tcW w:w="120" w:type="dxa"/>
            <w:vAlign w:val="bottom"/>
            <w:tcBorders>
              <w:bottom w:val="single" w:sz="8" w:color="auto"/>
            </w:tcBorders>
            <w:shd w:val="clear" w:color="auto" w:fill="E0E7ED"/>
          </w:tcPr>
          <w:p>
            <w:pPr>
              <w:spacing w:after="0"/>
              <w:rPr>
                <w:sz w:val="18"/>
                <w:szCs w:val="18"/>
                <w:color w:val="auto"/>
              </w:rPr>
            </w:pP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(6,548)</w:t>
            </w:r>
          </w:p>
        </w:tc>
        <w:tc>
          <w:tcPr>
            <w:tcW w:w="0" w:type="dxa"/>
            <w:vAlign w:val="bottom"/>
          </w:tcPr>
          <w:p>
            <w:pPr>
              <w:spacing w:after="0"/>
              <w:rPr>
                <w:sz w:val="1"/>
                <w:szCs w:val="1"/>
                <w:color w:val="auto"/>
              </w:rPr>
            </w:pPr>
          </w:p>
        </w:tc>
      </w:tr>
      <w:tr>
        <w:trPr>
          <w:trHeight w:val="212"/>
        </w:trPr>
        <w:tc>
          <w:tcPr>
            <w:tcW w:w="4980" w:type="dxa"/>
            <w:vAlign w:val="bottom"/>
          </w:tcPr>
          <w:p>
            <w:pPr>
              <w:ind w:left="20"/>
              <w:spacing w:after="0"/>
              <w:rPr>
                <w:sz w:val="20"/>
                <w:szCs w:val="20"/>
                <w:color w:val="auto"/>
              </w:rPr>
            </w:pPr>
            <w:r>
              <w:rPr>
                <w:rFonts w:ascii="Arial" w:cs="Arial" w:eastAsia="Arial" w:hAnsi="Arial"/>
                <w:sz w:val="14"/>
                <w:szCs w:val="14"/>
                <w:color w:val="auto"/>
              </w:rPr>
              <w:t>Debt securities available for sale with gross unrealized losses</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185,148</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1,281,595</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(229,430)</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1,466,743</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(230,325)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1"/>
                <w:szCs w:val="11"/>
                <w:b w:val="1"/>
                <w:bCs w:val="1"/>
                <w:color w:val="auto"/>
              </w:rPr>
              <w:t>12 months or more</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tcPr>
          <w:p>
            <w:pPr>
              <w:jc w:val="center"/>
              <w:ind w:right="260"/>
              <w:spacing w:after="0" w:line="107"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9"/>
                <w:szCs w:val="9"/>
                <w:color w:val="auto"/>
              </w:rPr>
            </w:pPr>
          </w:p>
        </w:tc>
        <w:tc>
          <w:tcPr>
            <w:tcW w:w="940" w:type="dxa"/>
            <w:vAlign w:val="bottom"/>
            <w:gridSpan w:val="2"/>
          </w:tcPr>
          <w:p>
            <w:pPr>
              <w:jc w:val="center"/>
              <w:ind w:right="180"/>
              <w:spacing w:after="0" w:line="107" w:lineRule="exact"/>
              <w:rPr>
                <w:sz w:val="20"/>
                <w:szCs w:val="20"/>
                <w:color w:val="auto"/>
              </w:rPr>
            </w:pPr>
            <w:r>
              <w:rPr>
                <w:rFonts w:ascii="Arial" w:cs="Arial" w:eastAsia="Arial" w:hAnsi="Arial"/>
                <w:sz w:val="11"/>
                <w:szCs w:val="11"/>
                <w:b w:val="1"/>
                <w:bCs w:val="1"/>
                <w:color w:val="auto"/>
              </w:rPr>
              <w:t>Unrecognized</w:t>
            </w:r>
          </w:p>
        </w:tc>
        <w:tc>
          <w:tcPr>
            <w:tcW w:w="200" w:type="dxa"/>
            <w:vAlign w:val="bottom"/>
          </w:tcPr>
          <w:p>
            <w:pPr>
              <w:spacing w:after="0"/>
              <w:rPr>
                <w:sz w:val="9"/>
                <w:szCs w:val="9"/>
                <w:color w:val="auto"/>
              </w:rPr>
            </w:pPr>
          </w:p>
        </w:tc>
        <w:tc>
          <w:tcPr>
            <w:tcW w:w="860" w:type="dxa"/>
            <w:vAlign w:val="bottom"/>
            <w:gridSpan w:val="2"/>
          </w:tcPr>
          <w:p>
            <w:pPr>
              <w:jc w:val="center"/>
              <w:ind w:right="260"/>
              <w:spacing w:after="0" w:line="107"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9"/>
                <w:szCs w:val="9"/>
                <w:color w:val="auto"/>
              </w:rPr>
            </w:pPr>
          </w:p>
        </w:tc>
        <w:tc>
          <w:tcPr>
            <w:tcW w:w="880" w:type="dxa"/>
            <w:vAlign w:val="bottom"/>
          </w:tcPr>
          <w:p>
            <w:pPr>
              <w:jc w:val="center"/>
              <w:ind w:right="33"/>
              <w:spacing w:after="0" w:line="107" w:lineRule="exact"/>
              <w:rPr>
                <w:sz w:val="20"/>
                <w:szCs w:val="20"/>
                <w:color w:val="auto"/>
              </w:rPr>
            </w:pPr>
            <w:r>
              <w:rPr>
                <w:rFonts w:ascii="Arial" w:cs="Arial" w:eastAsia="Arial" w:hAnsi="Arial"/>
                <w:sz w:val="11"/>
                <w:szCs w:val="11"/>
                <w:b w:val="1"/>
                <w:bCs w:val="1"/>
                <w:color w:val="auto"/>
              </w:rPr>
              <w:t>Unrecognized</w:t>
            </w:r>
          </w:p>
        </w:tc>
        <w:tc>
          <w:tcPr>
            <w:tcW w:w="0" w:type="dxa"/>
            <w:vAlign w:val="bottom"/>
          </w:tcPr>
          <w:p>
            <w:pPr>
              <w:spacing w:after="0"/>
              <w:rPr>
                <w:sz w:val="1"/>
                <w:szCs w:val="1"/>
                <w:color w:val="auto"/>
              </w:rPr>
            </w:pPr>
          </w:p>
        </w:tc>
      </w:tr>
      <w:tr>
        <w:trPr>
          <w:trHeight w:val="138"/>
        </w:trPr>
        <w:tc>
          <w:tcPr>
            <w:tcW w:w="4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Value</w:t>
            </w:r>
          </w:p>
        </w:tc>
        <w:tc>
          <w:tcPr>
            <w:tcW w:w="12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Losses</w:t>
            </w:r>
          </w:p>
        </w:tc>
        <w:tc>
          <w:tcPr>
            <w:tcW w:w="20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Value</w:t>
            </w:r>
          </w:p>
        </w:tc>
        <w:tc>
          <w:tcPr>
            <w:tcW w:w="120" w:type="dxa"/>
            <w:vAlign w:val="bottom"/>
          </w:tcPr>
          <w:p>
            <w:pPr>
              <w:spacing w:after="0"/>
              <w:rPr>
                <w:sz w:val="11"/>
                <w:szCs w:val="11"/>
                <w:color w:val="auto"/>
              </w:rPr>
            </w:pPr>
          </w:p>
        </w:tc>
        <w:tc>
          <w:tcPr>
            <w:tcW w:w="880" w:type="dxa"/>
            <w:vAlign w:val="bottom"/>
          </w:tcPr>
          <w:p>
            <w:pPr>
              <w:jc w:val="center"/>
              <w:ind w:right="53"/>
              <w:spacing w:after="0"/>
              <w:rPr>
                <w:sz w:val="20"/>
                <w:szCs w:val="20"/>
                <w:color w:val="auto"/>
              </w:rPr>
            </w:pPr>
            <w:r>
              <w:rPr>
                <w:rFonts w:ascii="Arial" w:cs="Arial" w:eastAsia="Arial" w:hAnsi="Arial"/>
                <w:sz w:val="11"/>
                <w:szCs w:val="11"/>
                <w:b w:val="1"/>
                <w:bCs w:val="1"/>
                <w:color w:val="auto"/>
              </w:rPr>
              <w:t>Losses</w:t>
            </w:r>
          </w:p>
        </w:tc>
        <w:tc>
          <w:tcPr>
            <w:tcW w:w="0" w:type="dxa"/>
            <w:vAlign w:val="bottom"/>
          </w:tcPr>
          <w:p>
            <w:pPr>
              <w:spacing w:after="0"/>
              <w:rPr>
                <w:sz w:val="1"/>
                <w:szCs w:val="1"/>
                <w:color w:val="auto"/>
              </w:rPr>
            </w:pPr>
          </w:p>
        </w:tc>
      </w:tr>
      <w:tr>
        <w:trPr>
          <w:trHeight w:val="192"/>
        </w:trPr>
        <w:tc>
          <w:tcPr>
            <w:tcW w:w="49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Debt securities held to maturity</w:t>
            </w:r>
          </w:p>
        </w:tc>
        <w:tc>
          <w:tcPr>
            <w:tcW w:w="220" w:type="dxa"/>
            <w:vAlign w:val="bottom"/>
            <w:tcBorders>
              <w:top w:val="single" w:sz="8" w:color="E0E7ED"/>
            </w:tcBorders>
            <w:shd w:val="clear" w:color="auto" w:fill="E0E7ED"/>
          </w:tcPr>
          <w:p>
            <w:pPr>
              <w:spacing w:after="0"/>
              <w:rPr>
                <w:sz w:val="16"/>
                <w:szCs w:val="16"/>
                <w:color w:val="auto"/>
              </w:rPr>
            </w:pPr>
          </w:p>
        </w:tc>
        <w:tc>
          <w:tcPr>
            <w:tcW w:w="780" w:type="dxa"/>
            <w:vAlign w:val="bottom"/>
            <w:tcBorders>
              <w:top w:val="single" w:sz="8" w:color="E0E7ED"/>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60" w:type="dxa"/>
            <w:vAlign w:val="bottom"/>
            <w:tcBorders>
              <w:top w:val="single" w:sz="8" w:color="E0E7ED"/>
            </w:tcBorders>
            <w:shd w:val="clear" w:color="auto" w:fill="E0E7ED"/>
          </w:tcPr>
          <w:p>
            <w:pPr>
              <w:spacing w:after="0"/>
              <w:rPr>
                <w:sz w:val="16"/>
                <w:szCs w:val="16"/>
                <w:color w:val="auto"/>
              </w:rPr>
            </w:pPr>
          </w:p>
        </w:tc>
        <w:tc>
          <w:tcPr>
            <w:tcW w:w="840" w:type="dxa"/>
            <w:vAlign w:val="bottom"/>
            <w:tcBorders>
              <w:top w:val="single" w:sz="8" w:color="E0E7ED"/>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200" w:type="dxa"/>
            <w:vAlign w:val="bottom"/>
            <w:tcBorders>
              <w:top w:val="single" w:sz="8" w:color="auto"/>
            </w:tcBorders>
            <w:shd w:val="clear" w:color="auto" w:fill="E0E7ED"/>
          </w:tcPr>
          <w:p>
            <w:pPr>
              <w:spacing w:after="0"/>
              <w:rPr>
                <w:sz w:val="16"/>
                <w:szCs w:val="16"/>
                <w:color w:val="auto"/>
              </w:rPr>
            </w:pPr>
          </w:p>
        </w:tc>
        <w:tc>
          <w:tcPr>
            <w:tcW w:w="80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20" w:type="dxa"/>
            <w:vAlign w:val="bottom"/>
            <w:tcBorders>
              <w:top w:val="single" w:sz="8" w:color="auto"/>
            </w:tcBorders>
            <w:shd w:val="clear" w:color="auto" w:fill="E0E7ED"/>
          </w:tcPr>
          <w:p>
            <w:pPr>
              <w:spacing w:after="0"/>
              <w:rPr>
                <w:sz w:val="16"/>
                <w:szCs w:val="16"/>
                <w:color w:val="auto"/>
              </w:rPr>
            </w:pPr>
          </w:p>
        </w:tc>
        <w:tc>
          <w:tcPr>
            <w:tcW w:w="88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200" w:type="dxa"/>
            <w:vAlign w:val="bottom"/>
            <w:tcBorders>
              <w:top w:val="single" w:sz="8" w:color="auto"/>
            </w:tcBorders>
            <w:shd w:val="clear" w:color="auto" w:fill="E0E7ED"/>
          </w:tcPr>
          <w:p>
            <w:pPr>
              <w:spacing w:after="0"/>
              <w:rPr>
                <w:sz w:val="16"/>
                <w:szCs w:val="16"/>
                <w:color w:val="auto"/>
              </w:rPr>
            </w:pPr>
          </w:p>
        </w:tc>
        <w:tc>
          <w:tcPr>
            <w:tcW w:w="80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E0E7ED"/>
            </w:tcBorders>
            <w:shd w:val="clear" w:color="auto" w:fill="E0E7ED"/>
          </w:tcPr>
          <w:p>
            <w:pPr>
              <w:spacing w:after="0"/>
              <w:rPr>
                <w:sz w:val="16"/>
                <w:szCs w:val="16"/>
                <w:color w:val="auto"/>
              </w:rPr>
            </w:pPr>
          </w:p>
        </w:tc>
        <w:tc>
          <w:tcPr>
            <w:tcW w:w="120" w:type="dxa"/>
            <w:vAlign w:val="bottom"/>
            <w:tcBorders>
              <w:top w:val="single" w:sz="8" w:color="auto"/>
            </w:tcBorders>
            <w:shd w:val="clear" w:color="auto" w:fill="E0E7ED"/>
          </w:tcPr>
          <w:p>
            <w:pPr>
              <w:spacing w:after="0"/>
              <w:rPr>
                <w:sz w:val="16"/>
                <w:szCs w:val="16"/>
                <w:color w:val="auto"/>
              </w:rPr>
            </w:pPr>
          </w:p>
        </w:tc>
        <w:tc>
          <w:tcPr>
            <w:tcW w:w="88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80" w:type="dxa"/>
            <w:vAlign w:val="bottom"/>
          </w:tcPr>
          <w:p>
            <w:pPr>
              <w:ind w:left="140"/>
              <w:spacing w:after="0"/>
              <w:rPr>
                <w:sz w:val="20"/>
                <w:szCs w:val="20"/>
                <w:color w:val="auto"/>
              </w:rPr>
            </w:pPr>
            <w:r>
              <w:rPr>
                <w:rFonts w:ascii="Arial" w:cs="Arial" w:eastAsia="Arial" w:hAnsi="Arial"/>
                <w:sz w:val="14"/>
                <w:szCs w:val="14"/>
                <w:color w:val="auto"/>
              </w:rPr>
              <w:t>Commercial mortgage-backed securities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338,288</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(77,242)</w:t>
            </w:r>
          </w:p>
        </w:tc>
        <w:tc>
          <w:tcPr>
            <w:tcW w:w="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338,288</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(77,242)</w:t>
            </w:r>
          </w:p>
        </w:tc>
        <w:tc>
          <w:tcPr>
            <w:tcW w:w="0" w:type="dxa"/>
            <w:vAlign w:val="bottom"/>
          </w:tcPr>
          <w:p>
            <w:pPr>
              <w:spacing w:after="0"/>
              <w:rPr>
                <w:sz w:val="1"/>
                <w:szCs w:val="1"/>
                <w:color w:val="auto"/>
              </w:rPr>
            </w:pPr>
          </w:p>
        </w:tc>
      </w:tr>
      <w:tr>
        <w:trPr>
          <w:trHeight w:val="213"/>
        </w:trPr>
        <w:tc>
          <w:tcPr>
            <w:tcW w:w="49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Residential mortgage-backed securities</w:t>
            </w:r>
          </w:p>
        </w:tc>
        <w:tc>
          <w:tcPr>
            <w:tcW w:w="220" w:type="dxa"/>
            <w:vAlign w:val="bottom"/>
            <w:shd w:val="clear" w:color="auto" w:fill="E0E7ED"/>
          </w:tcPr>
          <w:p>
            <w:pPr>
              <w:spacing w:after="0"/>
              <w:rPr>
                <w:sz w:val="18"/>
                <w:szCs w:val="18"/>
                <w:color w:val="auto"/>
              </w:rPr>
            </w:pPr>
          </w:p>
        </w:tc>
        <w:tc>
          <w:tcPr>
            <w:tcW w:w="78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84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336,765</w:t>
            </w:r>
          </w:p>
        </w:tc>
        <w:tc>
          <w:tcPr>
            <w:tcW w:w="60" w:type="dxa"/>
            <w:vAlign w:val="bottom"/>
            <w:shd w:val="clear" w:color="auto" w:fill="E0E7ED"/>
          </w:tcPr>
          <w:p>
            <w:pPr>
              <w:spacing w:after="0"/>
              <w:rPr>
                <w:sz w:val="18"/>
                <w:szCs w:val="18"/>
                <w:color w:val="auto"/>
              </w:rPr>
            </w:pPr>
          </w:p>
        </w:tc>
        <w:tc>
          <w:tcPr>
            <w:tcW w:w="120" w:type="dxa"/>
            <w:vAlign w:val="bottom"/>
            <w:tcBorders>
              <w:bottom w:val="single" w:sz="8" w:color="auto"/>
            </w:tcBorders>
            <w:shd w:val="clear" w:color="auto" w:fill="E0E7ED"/>
          </w:tcPr>
          <w:p>
            <w:pPr>
              <w:spacing w:after="0"/>
              <w:rPr>
                <w:sz w:val="18"/>
                <w:szCs w:val="18"/>
                <w:color w:val="auto"/>
              </w:rPr>
            </w:pP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(74,335)</w:t>
            </w:r>
          </w:p>
        </w:tc>
        <w:tc>
          <w:tcPr>
            <w:tcW w:w="6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336,765</w:t>
            </w:r>
          </w:p>
        </w:tc>
        <w:tc>
          <w:tcPr>
            <w:tcW w:w="60" w:type="dxa"/>
            <w:vAlign w:val="bottom"/>
            <w:shd w:val="clear" w:color="auto" w:fill="E0E7ED"/>
          </w:tcPr>
          <w:p>
            <w:pPr>
              <w:spacing w:after="0"/>
              <w:rPr>
                <w:sz w:val="18"/>
                <w:szCs w:val="18"/>
                <w:color w:val="auto"/>
              </w:rPr>
            </w:pPr>
          </w:p>
        </w:tc>
        <w:tc>
          <w:tcPr>
            <w:tcW w:w="120" w:type="dxa"/>
            <w:vAlign w:val="bottom"/>
            <w:tcBorders>
              <w:bottom w:val="single" w:sz="8" w:color="auto"/>
            </w:tcBorders>
            <w:shd w:val="clear" w:color="auto" w:fill="E0E7ED"/>
          </w:tcPr>
          <w:p>
            <w:pPr>
              <w:spacing w:after="0"/>
              <w:rPr>
                <w:sz w:val="18"/>
                <w:szCs w:val="18"/>
                <w:color w:val="auto"/>
              </w:rPr>
            </w:pP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(74,335)</w:t>
            </w:r>
          </w:p>
        </w:tc>
        <w:tc>
          <w:tcPr>
            <w:tcW w:w="0" w:type="dxa"/>
            <w:vAlign w:val="bottom"/>
          </w:tcPr>
          <w:p>
            <w:pPr>
              <w:spacing w:after="0"/>
              <w:rPr>
                <w:sz w:val="1"/>
                <w:szCs w:val="1"/>
                <w:color w:val="auto"/>
              </w:rPr>
            </w:pPr>
          </w:p>
        </w:tc>
      </w:tr>
      <w:tr>
        <w:trPr>
          <w:trHeight w:val="212"/>
        </w:trPr>
        <w:tc>
          <w:tcPr>
            <w:tcW w:w="4980" w:type="dxa"/>
            <w:vAlign w:val="bottom"/>
          </w:tcPr>
          <w:p>
            <w:pPr>
              <w:ind w:left="20"/>
              <w:spacing w:after="0"/>
              <w:rPr>
                <w:sz w:val="20"/>
                <w:szCs w:val="20"/>
                <w:color w:val="auto"/>
              </w:rPr>
            </w:pPr>
            <w:r>
              <w:rPr>
                <w:rFonts w:ascii="Arial" w:cs="Arial" w:eastAsia="Arial" w:hAnsi="Arial"/>
                <w:sz w:val="14"/>
                <w:szCs w:val="14"/>
                <w:color w:val="auto"/>
              </w:rPr>
              <w:t>Debt securities held to maturity with gross unrecognized losses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675,053</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(151,577)</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675,053</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(151,577)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Additional information about debt securities in an unrealized or unrecognized loss position is presented in the tables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As of March 31, 2025</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39"/>
        </w:trPr>
        <w:tc>
          <w:tcPr>
            <w:tcW w:w="67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6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Arial" w:cs="Arial" w:eastAsia="Arial" w:hAnsi="Arial"/>
                <w:sz w:val="11"/>
                <w:szCs w:val="11"/>
                <w:b w:val="1"/>
                <w:bCs w:val="1"/>
                <w:color w:val="auto"/>
              </w:rPr>
              <w:t>Available for Sale</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Held to Maturity</w:t>
            </w:r>
          </w:p>
        </w:tc>
        <w:tc>
          <w:tcPr>
            <w:tcW w:w="360" w:type="dxa"/>
            <w:vAlign w:val="bottom"/>
          </w:tcPr>
          <w:p>
            <w:pPr>
              <w:spacing w:after="0"/>
              <w:rPr>
                <w:sz w:val="12"/>
                <w:szCs w:val="12"/>
                <w:color w:val="auto"/>
              </w:rPr>
            </w:pPr>
          </w:p>
        </w:tc>
        <w:tc>
          <w:tcPr>
            <w:tcW w:w="1120" w:type="dxa"/>
            <w:vAlign w:val="bottom"/>
          </w:tcPr>
          <w:p>
            <w:pPr>
              <w:jc w:val="right"/>
              <w:ind w:right="532"/>
              <w:spacing w:after="0"/>
              <w:rPr>
                <w:sz w:val="20"/>
                <w:szCs w:val="20"/>
                <w:color w:val="auto"/>
              </w:rPr>
            </w:pPr>
            <w:r>
              <w:rPr>
                <w:rFonts w:ascii="Arial" w:cs="Arial" w:eastAsia="Arial" w:hAnsi="Arial"/>
                <w:sz w:val="11"/>
                <w:szCs w:val="11"/>
                <w:b w:val="1"/>
                <w:bCs w:val="1"/>
                <w:color w:val="auto"/>
              </w:rPr>
              <w:t>Total</w:t>
            </w:r>
          </w:p>
        </w:tc>
      </w:tr>
      <w:tr>
        <w:trPr>
          <w:trHeight w:val="203"/>
        </w:trPr>
        <w:tc>
          <w:tcPr>
            <w:tcW w:w="67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Debt securities with gross unrealized or unrecognized losses, fair value</w:t>
            </w:r>
          </w:p>
        </w:tc>
        <w:tc>
          <w:tcPr>
            <w:tcW w:w="160" w:type="dxa"/>
            <w:vAlign w:val="bottom"/>
            <w:tcBorders>
              <w:top w:val="single" w:sz="8" w:color="auto"/>
            </w:tcBorders>
            <w:shd w:val="clear" w:color="auto" w:fill="E0E7ED"/>
          </w:tcPr>
          <w:p>
            <w:pPr>
              <w:jc w:val="right"/>
              <w:ind w:right="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E0E7ED"/>
          </w:tcPr>
          <w:p>
            <w:pPr>
              <w:jc w:val="right"/>
              <w:ind w:right="132"/>
              <w:spacing w:after="0"/>
              <w:rPr>
                <w:sz w:val="20"/>
                <w:szCs w:val="20"/>
                <w:color w:val="auto"/>
              </w:rPr>
            </w:pPr>
            <w:r>
              <w:rPr>
                <w:rFonts w:ascii="Arial" w:cs="Arial" w:eastAsia="Arial" w:hAnsi="Arial"/>
                <w:sz w:val="14"/>
                <w:szCs w:val="14"/>
                <w:color w:val="auto"/>
              </w:rPr>
              <w:t>1,458,488</w:t>
            </w:r>
          </w:p>
        </w:tc>
        <w:tc>
          <w:tcPr>
            <w:tcW w:w="80" w:type="dxa"/>
            <w:vAlign w:val="bottom"/>
            <w:tcBorders>
              <w:top w:val="single" w:sz="8" w:color="E0E7ED"/>
            </w:tcBorders>
            <w:shd w:val="clear" w:color="auto" w:fill="E0E7ED"/>
          </w:tcPr>
          <w:p>
            <w:pPr>
              <w:spacing w:after="0"/>
              <w:rPr>
                <w:sz w:val="17"/>
                <w:szCs w:val="17"/>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E0E7ED"/>
          </w:tcPr>
          <w:p>
            <w:pPr>
              <w:jc w:val="right"/>
              <w:ind w:right="113"/>
              <w:spacing w:after="0"/>
              <w:rPr>
                <w:sz w:val="20"/>
                <w:szCs w:val="20"/>
                <w:color w:val="auto"/>
              </w:rPr>
            </w:pPr>
            <w:r>
              <w:rPr>
                <w:rFonts w:ascii="Arial" w:cs="Arial" w:eastAsia="Arial" w:hAnsi="Arial"/>
                <w:sz w:val="14"/>
                <w:szCs w:val="14"/>
                <w:color w:val="auto"/>
              </w:rPr>
              <w:t>678,470</w:t>
            </w:r>
          </w:p>
        </w:tc>
        <w:tc>
          <w:tcPr>
            <w:tcW w:w="8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E0E7ED"/>
          </w:tcPr>
          <w:p>
            <w:pPr>
              <w:jc w:val="right"/>
              <w:ind w:right="112"/>
              <w:spacing w:after="0"/>
              <w:rPr>
                <w:sz w:val="20"/>
                <w:szCs w:val="20"/>
                <w:color w:val="auto"/>
              </w:rPr>
            </w:pPr>
            <w:r>
              <w:rPr>
                <w:rFonts w:ascii="Arial" w:cs="Arial" w:eastAsia="Arial" w:hAnsi="Arial"/>
                <w:sz w:val="14"/>
                <w:szCs w:val="14"/>
                <w:color w:val="auto"/>
              </w:rPr>
              <w:t>2,136,958</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Gross unrealized or unrecognized losses on debt securities</w:t>
            </w:r>
          </w:p>
        </w:tc>
        <w:tc>
          <w:tcPr>
            <w:tcW w:w="160" w:type="dxa"/>
            <w:vAlign w:val="bottom"/>
          </w:tcPr>
          <w:p>
            <w:pPr>
              <w:spacing w:after="0"/>
              <w:rPr>
                <w:sz w:val="17"/>
                <w:szCs w:val="17"/>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color w:val="auto"/>
              </w:rPr>
              <w:t>193,297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13"/>
              <w:spacing w:after="0"/>
              <w:rPr>
                <w:sz w:val="20"/>
                <w:szCs w:val="20"/>
                <w:color w:val="auto"/>
              </w:rPr>
            </w:pPr>
            <w:r>
              <w:rPr>
                <w:rFonts w:ascii="Arial" w:cs="Arial" w:eastAsia="Arial" w:hAnsi="Arial"/>
                <w:sz w:val="14"/>
                <w:szCs w:val="14"/>
                <w:color w:val="auto"/>
              </w:rPr>
              <w:t>136,932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330,229</w:t>
            </w:r>
          </w:p>
        </w:tc>
      </w:tr>
      <w:tr>
        <w:trPr>
          <w:trHeight w:val="186"/>
        </w:trPr>
        <w:tc>
          <w:tcPr>
            <w:tcW w:w="6720" w:type="dxa"/>
            <w:vAlign w:val="bottom"/>
            <w:shd w:val="clear" w:color="auto" w:fill="E0E7ED"/>
          </w:tcPr>
          <w:p>
            <w:pPr>
              <w:ind w:left="20"/>
              <w:spacing w:after="0"/>
              <w:rPr>
                <w:sz w:val="20"/>
                <w:szCs w:val="20"/>
                <w:color w:val="auto"/>
              </w:rPr>
            </w:pPr>
            <w:r>
              <w:rPr>
                <w:rFonts w:ascii="Arial" w:cs="Arial" w:eastAsia="Arial" w:hAnsi="Arial"/>
                <w:sz w:val="14"/>
                <w:szCs w:val="14"/>
                <w:color w:val="auto"/>
              </w:rPr>
              <w:t>Ratio of gross unrealized or unrecognized losses to debt securities with gross unrealized or unrecognized</w:t>
            </w:r>
          </w:p>
        </w:tc>
        <w:tc>
          <w:tcPr>
            <w:tcW w:w="160" w:type="dxa"/>
            <w:vAlign w:val="bottom"/>
            <w:shd w:val="clear" w:color="auto" w:fill="E0E7ED"/>
          </w:tcPr>
          <w:p>
            <w:pPr>
              <w:spacing w:after="0"/>
              <w:rPr>
                <w:sz w:val="16"/>
                <w:szCs w:val="16"/>
                <w:color w:val="auto"/>
              </w:rPr>
            </w:pPr>
          </w:p>
        </w:tc>
        <w:tc>
          <w:tcPr>
            <w:tcW w:w="13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3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r>
      <w:tr>
        <w:trPr>
          <w:trHeight w:val="206"/>
        </w:trPr>
        <w:tc>
          <w:tcPr>
            <w:tcW w:w="6720" w:type="dxa"/>
            <w:vAlign w:val="bottom"/>
            <w:shd w:val="clear" w:color="auto" w:fill="E0E7ED"/>
          </w:tcPr>
          <w:p>
            <w:pPr>
              <w:ind w:left="20"/>
              <w:spacing w:after="0"/>
              <w:rPr>
                <w:sz w:val="20"/>
                <w:szCs w:val="20"/>
                <w:color w:val="auto"/>
              </w:rPr>
            </w:pPr>
            <w:r>
              <w:rPr>
                <w:rFonts w:ascii="Arial" w:cs="Arial" w:eastAsia="Arial" w:hAnsi="Arial"/>
                <w:sz w:val="14"/>
                <w:szCs w:val="14"/>
                <w:color w:val="auto"/>
              </w:rPr>
              <w:t>losses</w:t>
            </w:r>
          </w:p>
        </w:tc>
        <w:tc>
          <w:tcPr>
            <w:tcW w:w="160" w:type="dxa"/>
            <w:vAlign w:val="bottom"/>
            <w:shd w:val="clear" w:color="auto" w:fill="E0E7ED"/>
          </w:tcPr>
          <w:p>
            <w:pPr>
              <w:spacing w:after="0"/>
              <w:rPr>
                <w:sz w:val="17"/>
                <w:szCs w:val="17"/>
                <w:color w:val="auto"/>
              </w:rPr>
            </w:pPr>
          </w:p>
        </w:tc>
        <w:tc>
          <w:tcPr>
            <w:tcW w:w="13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13.3 %</w:t>
            </w:r>
          </w:p>
        </w:tc>
        <w:tc>
          <w:tcPr>
            <w:tcW w:w="8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13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20.2 %</w:t>
            </w:r>
          </w:p>
        </w:tc>
        <w:tc>
          <w:tcPr>
            <w:tcW w:w="8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15.5 %</w:t>
            </w:r>
          </w:p>
        </w:tc>
      </w:tr>
      <w:tr>
        <w:trPr>
          <w:trHeight w:val="212"/>
        </w:trPr>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6720" w:type="dxa"/>
            <w:vAlign w:val="bottom"/>
            <w:shd w:val="clear" w:color="auto" w:fill="E0E7ED"/>
          </w:tcPr>
          <w:p>
            <w:pPr>
              <w:ind w:left="20"/>
              <w:spacing w:after="0"/>
              <w:rPr>
                <w:sz w:val="20"/>
                <w:szCs w:val="20"/>
                <w:color w:val="auto"/>
              </w:rPr>
            </w:pPr>
            <w:r>
              <w:rPr>
                <w:rFonts w:ascii="Arial" w:cs="Arial" w:eastAsia="Arial" w:hAnsi="Arial"/>
                <w:sz w:val="14"/>
                <w:szCs w:val="14"/>
                <w:color w:val="auto"/>
              </w:rPr>
              <w:t>Count of debt securities</w:t>
            </w:r>
          </w:p>
        </w:tc>
        <w:tc>
          <w:tcPr>
            <w:tcW w:w="16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32"/>
              <w:spacing w:after="0"/>
              <w:rPr>
                <w:sz w:val="20"/>
                <w:szCs w:val="20"/>
                <w:color w:val="auto"/>
              </w:rPr>
            </w:pPr>
            <w:r>
              <w:rPr>
                <w:rFonts w:ascii="Arial" w:cs="Arial" w:eastAsia="Arial" w:hAnsi="Arial"/>
                <w:sz w:val="14"/>
                <w:szCs w:val="14"/>
                <w:color w:val="auto"/>
              </w:rPr>
              <w:t>679</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13"/>
              <w:spacing w:after="0"/>
              <w:rPr>
                <w:sz w:val="20"/>
                <w:szCs w:val="20"/>
                <w:color w:val="auto"/>
              </w:rPr>
            </w:pPr>
            <w:r>
              <w:rPr>
                <w:rFonts w:ascii="Arial" w:cs="Arial" w:eastAsia="Arial" w:hAnsi="Arial"/>
                <w:sz w:val="14"/>
                <w:szCs w:val="14"/>
                <w:color w:val="auto"/>
              </w:rPr>
              <w:t>55</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ind w:right="112"/>
              <w:spacing w:after="0"/>
              <w:rPr>
                <w:sz w:val="20"/>
                <w:szCs w:val="20"/>
                <w:color w:val="auto"/>
              </w:rPr>
            </w:pPr>
            <w:r>
              <w:rPr>
                <w:rFonts w:ascii="Arial" w:cs="Arial" w:eastAsia="Arial" w:hAnsi="Arial"/>
                <w:sz w:val="14"/>
                <w:szCs w:val="14"/>
                <w:color w:val="auto"/>
              </w:rPr>
              <w:t>734</w:t>
            </w:r>
          </w:p>
        </w:tc>
      </w:tr>
      <w:tr>
        <w:trPr>
          <w:trHeight w:val="193"/>
        </w:trPr>
        <w:tc>
          <w:tcPr>
            <w:tcW w:w="6720" w:type="dxa"/>
            <w:vAlign w:val="bottom"/>
          </w:tcPr>
          <w:p>
            <w:pPr>
              <w:ind w:left="20"/>
              <w:spacing w:after="0"/>
              <w:rPr>
                <w:sz w:val="20"/>
                <w:szCs w:val="20"/>
                <w:color w:val="auto"/>
              </w:rPr>
            </w:pPr>
            <w:r>
              <w:rPr>
                <w:rFonts w:ascii="Arial" w:cs="Arial" w:eastAsia="Arial" w:hAnsi="Arial"/>
                <w:sz w:val="14"/>
                <w:szCs w:val="14"/>
                <w:color w:val="auto"/>
              </w:rPr>
              <w:t>Count of debt securities in an unrealized or unrecognized loss position</w:t>
            </w:r>
          </w:p>
        </w:tc>
        <w:tc>
          <w:tcPr>
            <w:tcW w:w="160" w:type="dxa"/>
            <w:vAlign w:val="bottom"/>
          </w:tcPr>
          <w:p>
            <w:pPr>
              <w:spacing w:after="0"/>
              <w:rPr>
                <w:sz w:val="16"/>
                <w:szCs w:val="16"/>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13"/>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591</w:t>
            </w:r>
          </w:p>
        </w:tc>
      </w:tr>
      <w:tr>
        <w:trPr>
          <w:trHeight w:val="433"/>
        </w:trPr>
        <w:tc>
          <w:tcPr>
            <w:tcW w:w="6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rPr>
              <w:t>As of December 31, 2024</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39"/>
        </w:trPr>
        <w:tc>
          <w:tcPr>
            <w:tcW w:w="67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6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Arial" w:cs="Arial" w:eastAsia="Arial" w:hAnsi="Arial"/>
                <w:sz w:val="11"/>
                <w:szCs w:val="11"/>
                <w:b w:val="1"/>
                <w:bCs w:val="1"/>
                <w:color w:val="auto"/>
              </w:rPr>
              <w:t>Available for Sale</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Held to Maturity</w:t>
            </w:r>
          </w:p>
        </w:tc>
        <w:tc>
          <w:tcPr>
            <w:tcW w:w="360" w:type="dxa"/>
            <w:vAlign w:val="bottom"/>
          </w:tcPr>
          <w:p>
            <w:pPr>
              <w:spacing w:after="0"/>
              <w:rPr>
                <w:sz w:val="12"/>
                <w:szCs w:val="12"/>
                <w:color w:val="auto"/>
              </w:rPr>
            </w:pPr>
          </w:p>
        </w:tc>
        <w:tc>
          <w:tcPr>
            <w:tcW w:w="1120" w:type="dxa"/>
            <w:vAlign w:val="bottom"/>
          </w:tcPr>
          <w:p>
            <w:pPr>
              <w:jc w:val="right"/>
              <w:ind w:right="532"/>
              <w:spacing w:after="0"/>
              <w:rPr>
                <w:sz w:val="20"/>
                <w:szCs w:val="20"/>
                <w:color w:val="auto"/>
              </w:rPr>
            </w:pPr>
            <w:r>
              <w:rPr>
                <w:rFonts w:ascii="Arial" w:cs="Arial" w:eastAsia="Arial" w:hAnsi="Arial"/>
                <w:sz w:val="11"/>
                <w:szCs w:val="11"/>
                <w:b w:val="1"/>
                <w:bCs w:val="1"/>
                <w:color w:val="auto"/>
              </w:rPr>
              <w:t>Total</w:t>
            </w:r>
          </w:p>
        </w:tc>
      </w:tr>
      <w:tr>
        <w:trPr>
          <w:trHeight w:val="203"/>
        </w:trPr>
        <w:tc>
          <w:tcPr>
            <w:tcW w:w="67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Debt securities with gross unrealized or unrecognized losses, fair value</w:t>
            </w:r>
          </w:p>
        </w:tc>
        <w:tc>
          <w:tcPr>
            <w:tcW w:w="160" w:type="dxa"/>
            <w:vAlign w:val="bottom"/>
            <w:tcBorders>
              <w:top w:val="single" w:sz="8" w:color="auto"/>
            </w:tcBorders>
            <w:shd w:val="clear" w:color="auto" w:fill="E0E7ED"/>
          </w:tcPr>
          <w:p>
            <w:pPr>
              <w:jc w:val="right"/>
              <w:ind w:right="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E0E7ED"/>
          </w:tcPr>
          <w:p>
            <w:pPr>
              <w:jc w:val="right"/>
              <w:ind w:right="132"/>
              <w:spacing w:after="0"/>
              <w:rPr>
                <w:sz w:val="20"/>
                <w:szCs w:val="20"/>
                <w:color w:val="auto"/>
              </w:rPr>
            </w:pPr>
            <w:r>
              <w:rPr>
                <w:rFonts w:ascii="Arial" w:cs="Arial" w:eastAsia="Arial" w:hAnsi="Arial"/>
                <w:sz w:val="14"/>
                <w:szCs w:val="14"/>
                <w:color w:val="auto"/>
              </w:rPr>
              <w:t>1,466,743</w:t>
            </w:r>
          </w:p>
        </w:tc>
        <w:tc>
          <w:tcPr>
            <w:tcW w:w="80" w:type="dxa"/>
            <w:vAlign w:val="bottom"/>
            <w:tcBorders>
              <w:top w:val="single" w:sz="8" w:color="E0E7ED"/>
            </w:tcBorders>
            <w:shd w:val="clear" w:color="auto" w:fill="E0E7ED"/>
          </w:tcPr>
          <w:p>
            <w:pPr>
              <w:spacing w:after="0"/>
              <w:rPr>
                <w:sz w:val="17"/>
                <w:szCs w:val="17"/>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E0E7ED"/>
          </w:tcPr>
          <w:p>
            <w:pPr>
              <w:jc w:val="right"/>
              <w:ind w:right="113"/>
              <w:spacing w:after="0"/>
              <w:rPr>
                <w:sz w:val="20"/>
                <w:szCs w:val="20"/>
                <w:color w:val="auto"/>
              </w:rPr>
            </w:pPr>
            <w:r>
              <w:rPr>
                <w:rFonts w:ascii="Arial" w:cs="Arial" w:eastAsia="Arial" w:hAnsi="Arial"/>
                <w:sz w:val="14"/>
                <w:szCs w:val="14"/>
                <w:color w:val="auto"/>
              </w:rPr>
              <w:t>675,053</w:t>
            </w:r>
          </w:p>
        </w:tc>
        <w:tc>
          <w:tcPr>
            <w:tcW w:w="8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E0E7ED"/>
          </w:tcPr>
          <w:p>
            <w:pPr>
              <w:jc w:val="right"/>
              <w:ind w:right="112"/>
              <w:spacing w:after="0"/>
              <w:rPr>
                <w:sz w:val="20"/>
                <w:szCs w:val="20"/>
                <w:color w:val="auto"/>
              </w:rPr>
            </w:pPr>
            <w:r>
              <w:rPr>
                <w:rFonts w:ascii="Arial" w:cs="Arial" w:eastAsia="Arial" w:hAnsi="Arial"/>
                <w:sz w:val="14"/>
                <w:szCs w:val="14"/>
                <w:color w:val="auto"/>
              </w:rPr>
              <w:t>2,141,796</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Gross unrealized or unrecognized losses on debt securities</w:t>
            </w:r>
          </w:p>
        </w:tc>
        <w:tc>
          <w:tcPr>
            <w:tcW w:w="160" w:type="dxa"/>
            <w:vAlign w:val="bottom"/>
          </w:tcPr>
          <w:p>
            <w:pPr>
              <w:spacing w:after="0"/>
              <w:rPr>
                <w:sz w:val="17"/>
                <w:szCs w:val="17"/>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color w:val="auto"/>
              </w:rPr>
              <w:t>230,325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13"/>
              <w:spacing w:after="0"/>
              <w:rPr>
                <w:sz w:val="20"/>
                <w:szCs w:val="20"/>
                <w:color w:val="auto"/>
              </w:rPr>
            </w:pPr>
            <w:r>
              <w:rPr>
                <w:rFonts w:ascii="Arial" w:cs="Arial" w:eastAsia="Arial" w:hAnsi="Arial"/>
                <w:sz w:val="14"/>
                <w:szCs w:val="14"/>
                <w:color w:val="auto"/>
              </w:rPr>
              <w:t>151,577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381,902</w:t>
            </w:r>
          </w:p>
        </w:tc>
      </w:tr>
      <w:tr>
        <w:trPr>
          <w:trHeight w:val="186"/>
        </w:trPr>
        <w:tc>
          <w:tcPr>
            <w:tcW w:w="6720" w:type="dxa"/>
            <w:vAlign w:val="bottom"/>
            <w:shd w:val="clear" w:color="auto" w:fill="E0E7ED"/>
          </w:tcPr>
          <w:p>
            <w:pPr>
              <w:ind w:left="20"/>
              <w:spacing w:after="0"/>
              <w:rPr>
                <w:sz w:val="20"/>
                <w:szCs w:val="20"/>
                <w:color w:val="auto"/>
              </w:rPr>
            </w:pPr>
            <w:r>
              <w:rPr>
                <w:rFonts w:ascii="Arial" w:cs="Arial" w:eastAsia="Arial" w:hAnsi="Arial"/>
                <w:sz w:val="14"/>
                <w:szCs w:val="14"/>
                <w:color w:val="auto"/>
              </w:rPr>
              <w:t>Ratio of gross unrealized or unrecognized losses to debt securities with gross unrealized or unrecognized</w:t>
            </w:r>
          </w:p>
        </w:tc>
        <w:tc>
          <w:tcPr>
            <w:tcW w:w="160" w:type="dxa"/>
            <w:vAlign w:val="bottom"/>
            <w:shd w:val="clear" w:color="auto" w:fill="E0E7ED"/>
          </w:tcPr>
          <w:p>
            <w:pPr>
              <w:spacing w:after="0"/>
              <w:rPr>
                <w:sz w:val="16"/>
                <w:szCs w:val="16"/>
                <w:color w:val="auto"/>
              </w:rPr>
            </w:pPr>
          </w:p>
        </w:tc>
        <w:tc>
          <w:tcPr>
            <w:tcW w:w="13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3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r>
      <w:tr>
        <w:trPr>
          <w:trHeight w:val="206"/>
        </w:trPr>
        <w:tc>
          <w:tcPr>
            <w:tcW w:w="6720" w:type="dxa"/>
            <w:vAlign w:val="bottom"/>
            <w:shd w:val="clear" w:color="auto" w:fill="E0E7ED"/>
          </w:tcPr>
          <w:p>
            <w:pPr>
              <w:ind w:left="20"/>
              <w:spacing w:after="0"/>
              <w:rPr>
                <w:sz w:val="20"/>
                <w:szCs w:val="20"/>
                <w:color w:val="auto"/>
              </w:rPr>
            </w:pPr>
            <w:r>
              <w:rPr>
                <w:rFonts w:ascii="Arial" w:cs="Arial" w:eastAsia="Arial" w:hAnsi="Arial"/>
                <w:sz w:val="14"/>
                <w:szCs w:val="14"/>
                <w:color w:val="auto"/>
              </w:rPr>
              <w:t>losses</w:t>
            </w:r>
          </w:p>
        </w:tc>
        <w:tc>
          <w:tcPr>
            <w:tcW w:w="160" w:type="dxa"/>
            <w:vAlign w:val="bottom"/>
            <w:shd w:val="clear" w:color="auto" w:fill="E0E7ED"/>
          </w:tcPr>
          <w:p>
            <w:pPr>
              <w:spacing w:after="0"/>
              <w:rPr>
                <w:sz w:val="17"/>
                <w:szCs w:val="17"/>
                <w:color w:val="auto"/>
              </w:rPr>
            </w:pPr>
          </w:p>
        </w:tc>
        <w:tc>
          <w:tcPr>
            <w:tcW w:w="13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15.7 %</w:t>
            </w:r>
          </w:p>
        </w:tc>
        <w:tc>
          <w:tcPr>
            <w:tcW w:w="8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13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22.5 %</w:t>
            </w:r>
          </w:p>
        </w:tc>
        <w:tc>
          <w:tcPr>
            <w:tcW w:w="8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17.8 %</w:t>
            </w:r>
          </w:p>
        </w:tc>
      </w:tr>
      <w:tr>
        <w:trPr>
          <w:trHeight w:val="212"/>
        </w:trPr>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6720" w:type="dxa"/>
            <w:vAlign w:val="bottom"/>
            <w:shd w:val="clear" w:color="auto" w:fill="E0E7ED"/>
          </w:tcPr>
          <w:p>
            <w:pPr>
              <w:ind w:left="20"/>
              <w:spacing w:after="0"/>
              <w:rPr>
                <w:sz w:val="20"/>
                <w:szCs w:val="20"/>
                <w:color w:val="auto"/>
              </w:rPr>
            </w:pPr>
            <w:r>
              <w:rPr>
                <w:rFonts w:ascii="Arial" w:cs="Arial" w:eastAsia="Arial" w:hAnsi="Arial"/>
                <w:sz w:val="14"/>
                <w:szCs w:val="14"/>
                <w:color w:val="auto"/>
              </w:rPr>
              <w:t>Count of debt securities</w:t>
            </w:r>
          </w:p>
        </w:tc>
        <w:tc>
          <w:tcPr>
            <w:tcW w:w="16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32"/>
              <w:spacing w:after="0"/>
              <w:rPr>
                <w:sz w:val="20"/>
                <w:szCs w:val="20"/>
                <w:color w:val="auto"/>
              </w:rPr>
            </w:pPr>
            <w:r>
              <w:rPr>
                <w:rFonts w:ascii="Arial" w:cs="Arial" w:eastAsia="Arial" w:hAnsi="Arial"/>
                <w:sz w:val="14"/>
                <w:szCs w:val="14"/>
                <w:color w:val="auto"/>
              </w:rPr>
              <w:t>677</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13"/>
              <w:spacing w:after="0"/>
              <w:rPr>
                <w:sz w:val="20"/>
                <w:szCs w:val="20"/>
                <w:color w:val="auto"/>
              </w:rPr>
            </w:pPr>
            <w:r>
              <w:rPr>
                <w:rFonts w:ascii="Arial" w:cs="Arial" w:eastAsia="Arial" w:hAnsi="Arial"/>
                <w:sz w:val="14"/>
                <w:szCs w:val="14"/>
                <w:color w:val="auto"/>
              </w:rPr>
              <w:t>55</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ind w:right="112"/>
              <w:spacing w:after="0"/>
              <w:rPr>
                <w:sz w:val="20"/>
                <w:szCs w:val="20"/>
                <w:color w:val="auto"/>
              </w:rPr>
            </w:pPr>
            <w:r>
              <w:rPr>
                <w:rFonts w:ascii="Arial" w:cs="Arial" w:eastAsia="Arial" w:hAnsi="Arial"/>
                <w:sz w:val="14"/>
                <w:szCs w:val="14"/>
                <w:color w:val="auto"/>
              </w:rPr>
              <w:t>732</w:t>
            </w:r>
          </w:p>
        </w:tc>
      </w:tr>
      <w:tr>
        <w:trPr>
          <w:trHeight w:val="193"/>
        </w:trPr>
        <w:tc>
          <w:tcPr>
            <w:tcW w:w="6720" w:type="dxa"/>
            <w:vAlign w:val="bottom"/>
          </w:tcPr>
          <w:p>
            <w:pPr>
              <w:ind w:left="20"/>
              <w:spacing w:after="0"/>
              <w:rPr>
                <w:sz w:val="20"/>
                <w:szCs w:val="20"/>
                <w:color w:val="auto"/>
              </w:rPr>
            </w:pPr>
            <w:r>
              <w:rPr>
                <w:rFonts w:ascii="Arial" w:cs="Arial" w:eastAsia="Arial" w:hAnsi="Arial"/>
                <w:sz w:val="14"/>
                <w:szCs w:val="14"/>
                <w:color w:val="auto"/>
              </w:rPr>
              <w:t>Count of debt securities in an unrealized or unrecognized loss position</w:t>
            </w:r>
          </w:p>
        </w:tc>
        <w:tc>
          <w:tcPr>
            <w:tcW w:w="160" w:type="dxa"/>
            <w:vAlign w:val="bottom"/>
          </w:tcPr>
          <w:p>
            <w:pPr>
              <w:spacing w:after="0"/>
              <w:rPr>
                <w:sz w:val="16"/>
                <w:szCs w:val="16"/>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color w:val="auto"/>
              </w:rPr>
              <w:t>586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13"/>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641</w:t>
            </w:r>
          </w:p>
        </w:tc>
      </w:tr>
    </w:tbl>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Unrealized and unrecognized losses are related to changes in market interest rates and market conditions that do not represent credit-related impairments. Unless part of a corporate strategy or repositioning plan, Busey does not intend to sell securities that are in an unrealized or unrecognized loss position, and it is more likely than not that Busey will recover the amortized cost prior to being required to sell the debt securities. Full collection of the amounts due according to the contractual terms of the debt securities is expected; therefore, no ACL has been recorded in relation to debt securities, and the impairment related to noncredit factors on debt securities available for sale is recognized in AOCI, net of applicable taxes. As of March 31, 2025, Busey did not hold general obligation bonds of any single issuer that exceeded, in aggregate, 10% of Busey’s stockholders’ equity.</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PORTFOLIO LOANS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Loan Categories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Busey’s lending can be summarized in two primary categories: commercial and retail. Loans within these categories are further classified by lending activity: C&amp;I and other commercial, commercial real estate, real estate construction, retail real estate, and retail other. Distributions of the loan portfolio by loan category and activity is presented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20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right"/>
              <w:ind w:right="252"/>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Commercial loans</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4,513,543</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1,904,515</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5,573,766</w:t>
            </w: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3,269,564</w:t>
            </w:r>
          </w:p>
        </w:tc>
        <w:tc>
          <w:tcPr>
            <w:tcW w:w="0" w:type="dxa"/>
            <w:vAlign w:val="bottom"/>
          </w:tcPr>
          <w:p>
            <w:pPr>
              <w:spacing w:after="0"/>
              <w:rPr>
                <w:sz w:val="1"/>
                <w:szCs w:val="1"/>
                <w:color w:val="auto"/>
              </w:rPr>
            </w:pPr>
          </w:p>
        </w:tc>
      </w:tr>
      <w:tr>
        <w:trPr>
          <w:trHeight w:val="203"/>
        </w:trPr>
        <w:tc>
          <w:tcPr>
            <w:tcW w:w="8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Real estate construction</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1,051,179</w:t>
            </w:r>
          </w:p>
        </w:tc>
        <w:tc>
          <w:tcPr>
            <w:tcW w:w="10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378,209</w:t>
            </w:r>
          </w:p>
        </w:tc>
        <w:tc>
          <w:tcPr>
            <w:tcW w:w="0" w:type="dxa"/>
            <w:vAlign w:val="bottom"/>
          </w:tcPr>
          <w:p>
            <w:pPr>
              <w:spacing w:after="0"/>
              <w:rPr>
                <w:sz w:val="1"/>
                <w:szCs w:val="1"/>
                <w:color w:val="auto"/>
              </w:rPr>
            </w:pPr>
          </w:p>
        </w:tc>
      </w:tr>
      <w:tr>
        <w:trPr>
          <w:trHeight w:val="21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commercial loans</w:t>
            </w: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11,138,488</w:t>
            </w:r>
          </w:p>
        </w:tc>
        <w:tc>
          <w:tcPr>
            <w:tcW w:w="10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5,552,288</w:t>
            </w:r>
          </w:p>
        </w:tc>
        <w:tc>
          <w:tcPr>
            <w:tcW w:w="0" w:type="dxa"/>
            <w:vAlign w:val="bottom"/>
          </w:tcPr>
          <w:p>
            <w:pPr>
              <w:spacing w:after="0"/>
              <w:rPr>
                <w:sz w:val="1"/>
                <w:szCs w:val="1"/>
                <w:color w:val="auto"/>
              </w:rPr>
            </w:pPr>
          </w:p>
        </w:tc>
      </w:tr>
      <w:tr>
        <w:trPr>
          <w:trHeight w:val="186"/>
        </w:trPr>
        <w:tc>
          <w:tcPr>
            <w:tcW w:w="8460" w:type="dxa"/>
            <w:vAlign w:val="bottom"/>
          </w:tcPr>
          <w:p>
            <w:pPr>
              <w:ind w:left="20"/>
              <w:spacing w:after="0"/>
              <w:rPr>
                <w:sz w:val="20"/>
                <w:szCs w:val="20"/>
                <w:color w:val="auto"/>
              </w:rPr>
            </w:pPr>
            <w:r>
              <w:rPr>
                <w:rFonts w:ascii="Arial" w:cs="Arial" w:eastAsia="Arial" w:hAnsi="Arial"/>
                <w:sz w:val="14"/>
                <w:szCs w:val="14"/>
                <w:b w:val="1"/>
                <w:bCs w:val="1"/>
                <w:color w:val="auto"/>
              </w:rPr>
              <w:t>Retail loans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Retail real estate</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2,245,705</w:t>
            </w: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1,696,457</w:t>
            </w:r>
          </w:p>
        </w:tc>
        <w:tc>
          <w:tcPr>
            <w:tcW w:w="0" w:type="dxa"/>
            <w:vAlign w:val="bottom"/>
          </w:tcPr>
          <w:p>
            <w:pPr>
              <w:spacing w:after="0"/>
              <w:rPr>
                <w:sz w:val="1"/>
                <w:szCs w:val="1"/>
                <w:color w:val="auto"/>
              </w:rPr>
            </w:pPr>
          </w:p>
        </w:tc>
      </w:tr>
      <w:tr>
        <w:trPr>
          <w:trHeight w:val="203"/>
        </w:trPr>
        <w:tc>
          <w:tcPr>
            <w:tcW w:w="8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Retail other</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484,164</w:t>
            </w:r>
          </w:p>
        </w:tc>
        <w:tc>
          <w:tcPr>
            <w:tcW w:w="10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448,342</w:t>
            </w:r>
          </w:p>
        </w:tc>
        <w:tc>
          <w:tcPr>
            <w:tcW w:w="0" w:type="dxa"/>
            <w:vAlign w:val="bottom"/>
          </w:tcPr>
          <w:p>
            <w:pPr>
              <w:spacing w:after="0"/>
              <w:rPr>
                <w:sz w:val="1"/>
                <w:szCs w:val="1"/>
                <w:color w:val="auto"/>
              </w:rPr>
            </w:pPr>
          </w:p>
        </w:tc>
      </w:tr>
      <w:tr>
        <w:trPr>
          <w:trHeight w:val="203"/>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retail loans</w:t>
            </w:r>
          </w:p>
        </w:tc>
        <w:tc>
          <w:tcPr>
            <w:tcW w:w="260" w:type="dxa"/>
            <w:vAlign w:val="bottom"/>
            <w:tcBorders>
              <w:bottom w:val="single" w:sz="8" w:color="auto"/>
            </w:tcBorders>
            <w:shd w:val="clear" w:color="auto" w:fill="E0E7ED"/>
          </w:tcPr>
          <w:p>
            <w:pPr>
              <w:spacing w:after="0"/>
              <w:rPr>
                <w:sz w:val="17"/>
                <w:szCs w:val="17"/>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2,729,869</w:t>
            </w:r>
          </w:p>
        </w:tc>
        <w:tc>
          <w:tcPr>
            <w:tcW w:w="100" w:type="dxa"/>
            <w:vAlign w:val="bottom"/>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spacing w:after="0"/>
              <w:rPr>
                <w:sz w:val="17"/>
                <w:szCs w:val="17"/>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2,144,799</w:t>
            </w:r>
          </w:p>
        </w:tc>
        <w:tc>
          <w:tcPr>
            <w:tcW w:w="0" w:type="dxa"/>
            <w:vAlign w:val="bottom"/>
          </w:tcPr>
          <w:p>
            <w:pPr>
              <w:spacing w:after="0"/>
              <w:rPr>
                <w:sz w:val="1"/>
                <w:szCs w:val="1"/>
                <w:color w:val="auto"/>
              </w:rPr>
            </w:pPr>
          </w:p>
        </w:tc>
      </w:tr>
      <w:tr>
        <w:trPr>
          <w:trHeight w:val="191"/>
        </w:trPr>
        <w:tc>
          <w:tcPr>
            <w:tcW w:w="8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portfolio loans</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13,868,357</w:t>
            </w: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7,697,087</w:t>
            </w:r>
          </w:p>
        </w:tc>
        <w:tc>
          <w:tcPr>
            <w:tcW w:w="0" w:type="dxa"/>
            <w:vAlign w:val="bottom"/>
          </w:tcPr>
          <w:p>
            <w:pPr>
              <w:spacing w:after="0"/>
              <w:rPr>
                <w:sz w:val="1"/>
                <w:szCs w:val="1"/>
                <w:color w:val="auto"/>
              </w:rPr>
            </w:pPr>
          </w:p>
        </w:tc>
      </w:tr>
      <w:tr>
        <w:trPr>
          <w:trHeight w:val="203"/>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4"/>
                <w:szCs w:val="14"/>
                <w:color w:val="auto"/>
              </w:rPr>
              <w:t>ACL</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(195,210)</w:t>
            </w:r>
          </w:p>
        </w:tc>
        <w:tc>
          <w:tcPr>
            <w:tcW w:w="10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(83,404)</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Portfolio loans, net</w:t>
            </w:r>
          </w:p>
        </w:tc>
        <w:tc>
          <w:tcPr>
            <w:tcW w:w="260" w:type="dxa"/>
            <w:vAlign w:val="bottom"/>
            <w:tcBorders>
              <w:bottom w:val="single" w:sz="8" w:color="auto"/>
            </w:tcBorders>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13,673,147</w:t>
            </w: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7,613,683</w:t>
            </w:r>
          </w:p>
        </w:tc>
        <w:tc>
          <w:tcPr>
            <w:tcW w:w="0" w:type="dxa"/>
            <w:vAlign w:val="bottom"/>
          </w:tcPr>
          <w:p>
            <w:pPr>
              <w:spacing w:after="0"/>
              <w:rPr>
                <w:sz w:val="1"/>
                <w:szCs w:val="1"/>
                <w:color w:val="auto"/>
              </w:rPr>
            </w:pPr>
          </w:p>
        </w:tc>
      </w:tr>
      <w:tr>
        <w:trPr>
          <w:trHeight w:val="20"/>
        </w:trPr>
        <w:tc>
          <w:tcPr>
            <w:tcW w:w="846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deferred loan origination costs included in the balances above were $12.3 million as of March 31, 2025, compared to $12.5 million as of December 31, 2024. Net accretable purchase accounting adjustments included in the balances above reduced loans by $105.3 million as of March 31, 2025, and $8.8 million as of December 31, 2024.</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Busey did not purchase any retail real estate loans during the three months ended March 31, 2025 or 2024.</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Pledged Loans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Busey has an executed blanket lien with the FHLB. The principal balance of loans Busey has pledged as collateral that the banks are able to borrow against with the FHLB and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Federal Reserve Bank for liquidity is set forth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20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right"/>
              <w:ind w:right="255"/>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Pledged loans</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FHLB</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5,454,647</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4,813,600</w:t>
            </w:r>
          </w:p>
        </w:tc>
        <w:tc>
          <w:tcPr>
            <w:tcW w:w="0" w:type="dxa"/>
            <w:vAlign w:val="bottom"/>
          </w:tcPr>
          <w:p>
            <w:pPr>
              <w:spacing w:after="0"/>
              <w:rPr>
                <w:sz w:val="1"/>
                <w:szCs w:val="1"/>
                <w:color w:val="auto"/>
              </w:rPr>
            </w:pP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Federal Reserve Bank</w:t>
            </w: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1,764,406</w:t>
            </w:r>
          </w:p>
        </w:tc>
        <w:tc>
          <w:tcPr>
            <w:tcW w:w="10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765,824</w:t>
            </w:r>
          </w:p>
        </w:tc>
        <w:tc>
          <w:tcPr>
            <w:tcW w:w="0" w:type="dxa"/>
            <w:vAlign w:val="bottom"/>
          </w:tcPr>
          <w:p>
            <w:pPr>
              <w:spacing w:after="0"/>
              <w:rPr>
                <w:sz w:val="1"/>
                <w:szCs w:val="1"/>
                <w:color w:val="auto"/>
              </w:rPr>
            </w:pP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Total pledged loans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7,219,053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5,579,424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 Grading</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Busey utilizes a loan grading scale to assign a risk grade to all of its loans. A description of the general characteristics of each grade is as follows:</w:t>
      </w:r>
    </w:p>
    <w:p>
      <w:pPr>
        <w:spacing w:after="0" w:line="157" w:lineRule="exact"/>
        <w:rPr>
          <w:sz w:val="20"/>
          <w:szCs w:val="20"/>
          <w:color w:val="auto"/>
        </w:rPr>
      </w:pPr>
    </w:p>
    <w:p>
      <w:pPr>
        <w:ind w:left="520" w:hanging="260"/>
        <w:spacing w:after="0" w:line="290"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Pass </w:t>
      </w:r>
      <w:r>
        <w:rPr>
          <w:rFonts w:ascii="Arial" w:cs="Arial" w:eastAsia="Arial" w:hAnsi="Arial"/>
          <w:sz w:val="14"/>
          <w:szCs w:val="14"/>
          <w:color w:val="auto"/>
        </w:rPr>
        <w:t>– This category includes loans that are all considered acceptable credits, ranging from investment or near investment grade, to loans made to borrowers who exhibit</w:t>
      </w:r>
      <w:r>
        <w:rPr>
          <w:rFonts w:ascii="Arial" w:cs="Arial" w:eastAsia="Arial" w:hAnsi="Arial"/>
          <w:sz w:val="14"/>
          <w:szCs w:val="14"/>
          <w:i w:val="1"/>
          <w:iCs w:val="1"/>
          <w:color w:val="auto"/>
        </w:rPr>
        <w:t xml:space="preserve"> </w:t>
      </w:r>
      <w:r>
        <w:rPr>
          <w:rFonts w:ascii="Arial" w:cs="Arial" w:eastAsia="Arial" w:hAnsi="Arial"/>
          <w:sz w:val="14"/>
          <w:szCs w:val="14"/>
          <w:color w:val="auto"/>
        </w:rPr>
        <w:t>credit fundamentals that meet or exceed industry standards.</w:t>
      </w:r>
    </w:p>
    <w:p>
      <w:pPr>
        <w:spacing w:after="0" w:line="88"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Watch </w:t>
      </w:r>
      <w:r>
        <w:rPr>
          <w:rFonts w:ascii="Arial" w:cs="Arial" w:eastAsia="Arial" w:hAnsi="Arial"/>
          <w:sz w:val="14"/>
          <w:szCs w:val="14"/>
          <w:color w:val="auto"/>
        </w:rPr>
        <w:t>– This category includes loans that warrant a higher-than-average level of monitoring to ensure that weaknesses do not cause the inability of the credit to perform as</w:t>
      </w:r>
      <w:r>
        <w:rPr>
          <w:rFonts w:ascii="Arial" w:cs="Arial" w:eastAsia="Arial" w:hAnsi="Arial"/>
          <w:sz w:val="14"/>
          <w:szCs w:val="14"/>
          <w:i w:val="1"/>
          <w:iCs w:val="1"/>
          <w:color w:val="auto"/>
        </w:rPr>
        <w:t xml:space="preserve"> </w:t>
      </w:r>
      <w:r>
        <w:rPr>
          <w:rFonts w:ascii="Arial" w:cs="Arial" w:eastAsia="Arial" w:hAnsi="Arial"/>
          <w:sz w:val="14"/>
          <w:szCs w:val="14"/>
          <w:color w:val="auto"/>
        </w:rPr>
        <w:t>expected. These loans are not necessarily a problem due to other inherent strengths of the credit, such as guarantor strength, but have above average concern and monitoring.</w:t>
      </w:r>
    </w:p>
    <w:p>
      <w:pPr>
        <w:spacing w:after="0" w:line="10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Special mention </w:t>
      </w:r>
      <w:r>
        <w:rPr>
          <w:rFonts w:ascii="Arial" w:cs="Arial" w:eastAsia="Arial" w:hAnsi="Arial"/>
          <w:sz w:val="14"/>
          <w:szCs w:val="14"/>
          <w:color w:val="auto"/>
        </w:rPr>
        <w:t>– This category is for “Other Assets Specially Mentioned” loans that have potential weaknesses, which may, if not checked or corrected, weaken the asset</w:t>
      </w:r>
      <w:r>
        <w:rPr>
          <w:rFonts w:ascii="Arial" w:cs="Arial" w:eastAsia="Arial" w:hAnsi="Arial"/>
          <w:sz w:val="14"/>
          <w:szCs w:val="14"/>
          <w:i w:val="1"/>
          <w:iCs w:val="1"/>
          <w:color w:val="auto"/>
        </w:rPr>
        <w:t xml:space="preserve"> </w:t>
      </w:r>
      <w:r>
        <w:rPr>
          <w:rFonts w:ascii="Arial" w:cs="Arial" w:eastAsia="Arial" w:hAnsi="Arial"/>
          <w:sz w:val="14"/>
          <w:szCs w:val="14"/>
          <w:color w:val="auto"/>
        </w:rPr>
        <w:t>or inadequately protect Busey’s credit position at some future date.</w:t>
      </w:r>
    </w:p>
    <w:p>
      <w:pPr>
        <w:spacing w:after="0" w:line="98"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Substandard </w:t>
      </w:r>
      <w:r>
        <w:rPr>
          <w:rFonts w:ascii="Arial" w:cs="Arial" w:eastAsia="Arial" w:hAnsi="Arial"/>
          <w:sz w:val="14"/>
          <w:szCs w:val="14"/>
          <w:color w:val="auto"/>
        </w:rPr>
        <w:t>– This category includes “Substandard” loans, determined in accordance with regulatory guidelines, for which the accrual of interest has not been stopped.</w:t>
      </w:r>
      <w:r>
        <w:rPr>
          <w:rFonts w:ascii="Arial" w:cs="Arial" w:eastAsia="Arial" w:hAnsi="Arial"/>
          <w:sz w:val="14"/>
          <w:szCs w:val="14"/>
          <w:i w:val="1"/>
          <w:iCs w:val="1"/>
          <w:color w:val="auto"/>
        </w:rPr>
        <w:t xml:space="preserve"> </w:t>
      </w:r>
      <w:r>
        <w:rPr>
          <w:rFonts w:ascii="Arial" w:cs="Arial" w:eastAsia="Arial" w:hAnsi="Arial"/>
          <w:sz w:val="14"/>
          <w:szCs w:val="14"/>
          <w:color w:val="auto"/>
        </w:rPr>
        <w:t>Assets so classified must have a well-defined weakness or weaknesses that jeopardize the liquidation of the debt. They are characterized by the distinct possibility that Busey will sustain some loss if the deficiencies are not corrected.</w:t>
      </w:r>
    </w:p>
    <w:p>
      <w:pPr>
        <w:spacing w:after="0" w:line="10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Substandard non-accrual </w:t>
      </w:r>
      <w:r>
        <w:rPr>
          <w:rFonts w:ascii="Arial" w:cs="Arial" w:eastAsia="Arial" w:hAnsi="Arial"/>
          <w:sz w:val="14"/>
          <w:szCs w:val="14"/>
          <w:color w:val="auto"/>
        </w:rPr>
        <w:t>– This category includes loans that have all the characteristics of a “Substandard” loan with additional factors that make collection in full highly</w:t>
      </w:r>
      <w:r>
        <w:rPr>
          <w:rFonts w:ascii="Arial" w:cs="Arial" w:eastAsia="Arial" w:hAnsi="Arial"/>
          <w:sz w:val="14"/>
          <w:szCs w:val="14"/>
          <w:i w:val="1"/>
          <w:iCs w:val="1"/>
          <w:color w:val="auto"/>
        </w:rPr>
        <w:t xml:space="preserve"> </w:t>
      </w:r>
      <w:r>
        <w:rPr>
          <w:rFonts w:ascii="Arial" w:cs="Arial" w:eastAsia="Arial" w:hAnsi="Arial"/>
          <w:sz w:val="14"/>
          <w:szCs w:val="14"/>
          <w:color w:val="auto"/>
        </w:rPr>
        <w:t>questionable and improbable. Such loans are placed on non-accrual status and may be dependent on collateral with a value that is difficult to determine.</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is a summary of Busey’s portfolio loans by risk grade, segregated by loan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5"/>
          </w:tcPr>
          <w:p>
            <w:pPr>
              <w:ind w:left="580"/>
              <w:spacing w:after="0"/>
              <w:rPr>
                <w:sz w:val="20"/>
                <w:szCs w:val="20"/>
                <w:color w:val="auto"/>
              </w:rPr>
            </w:pPr>
            <w:r>
              <w:rPr>
                <w:rFonts w:ascii="Arial" w:cs="Arial" w:eastAsia="Arial" w:hAnsi="Arial"/>
                <w:sz w:val="11"/>
                <w:szCs w:val="11"/>
                <w:b w:val="1"/>
                <w:bCs w:val="1"/>
                <w:color w:val="auto"/>
              </w:rPr>
              <w:t>As of March 31, 2025</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7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Pr>
          <w:p>
            <w:pPr>
              <w:spacing w:after="0"/>
              <w:rPr>
                <w:sz w:val="9"/>
                <w:szCs w:val="9"/>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Pass</w:t>
            </w:r>
          </w:p>
        </w:tc>
        <w:tc>
          <w:tcPr>
            <w:tcW w:w="300" w:type="dxa"/>
            <w:vAlign w:val="bottom"/>
          </w:tcPr>
          <w:p>
            <w:pPr>
              <w:spacing w:after="0"/>
              <w:rPr>
                <w:sz w:val="9"/>
                <w:szCs w:val="9"/>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Watch</w:t>
            </w:r>
          </w:p>
        </w:tc>
        <w:tc>
          <w:tcPr>
            <w:tcW w:w="280" w:type="dxa"/>
            <w:vAlign w:val="bottom"/>
          </w:tcPr>
          <w:p>
            <w:pPr>
              <w:spacing w:after="0"/>
              <w:rPr>
                <w:sz w:val="9"/>
                <w:szCs w:val="9"/>
                <w:color w:val="auto"/>
              </w:rPr>
            </w:pPr>
          </w:p>
        </w:tc>
        <w:tc>
          <w:tcPr>
            <w:tcW w:w="1160" w:type="dxa"/>
            <w:vAlign w:val="bottom"/>
            <w:gridSpan w:val="2"/>
          </w:tcPr>
          <w:p>
            <w:pPr>
              <w:jc w:val="center"/>
              <w:ind w:right="360"/>
              <w:spacing w:after="0" w:line="107" w:lineRule="exact"/>
              <w:rPr>
                <w:sz w:val="20"/>
                <w:szCs w:val="20"/>
                <w:color w:val="auto"/>
              </w:rPr>
            </w:pPr>
            <w:r>
              <w:rPr>
                <w:rFonts w:ascii="Arial" w:cs="Arial" w:eastAsia="Arial" w:hAnsi="Arial"/>
                <w:sz w:val="11"/>
                <w:szCs w:val="11"/>
                <w:b w:val="1"/>
                <w:bCs w:val="1"/>
                <w:color w:val="auto"/>
              </w:rPr>
              <w:t>Special</w:t>
            </w:r>
          </w:p>
        </w:tc>
        <w:tc>
          <w:tcPr>
            <w:tcW w:w="220" w:type="dxa"/>
            <w:vAlign w:val="bottom"/>
          </w:tcPr>
          <w:p>
            <w:pPr>
              <w:spacing w:after="0"/>
              <w:rPr>
                <w:sz w:val="9"/>
                <w:szCs w:val="9"/>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Substandard</w:t>
            </w:r>
          </w:p>
        </w:tc>
        <w:tc>
          <w:tcPr>
            <w:tcW w:w="200" w:type="dxa"/>
            <w:vAlign w:val="bottom"/>
          </w:tcPr>
          <w:p>
            <w:pPr>
              <w:spacing w:after="0"/>
              <w:rPr>
                <w:sz w:val="9"/>
                <w:szCs w:val="9"/>
                <w:color w:val="auto"/>
              </w:rPr>
            </w:pPr>
          </w:p>
        </w:tc>
        <w:tc>
          <w:tcPr>
            <w:tcW w:w="1240" w:type="dxa"/>
            <w:vAlign w:val="bottom"/>
            <w:gridSpan w:val="2"/>
          </w:tcPr>
          <w:p>
            <w:pPr>
              <w:jc w:val="center"/>
              <w:ind w:right="300"/>
              <w:spacing w:after="0" w:line="107" w:lineRule="exact"/>
              <w:rPr>
                <w:sz w:val="20"/>
                <w:szCs w:val="20"/>
                <w:color w:val="auto"/>
              </w:rPr>
            </w:pPr>
            <w:r>
              <w:rPr>
                <w:rFonts w:ascii="Arial" w:cs="Arial" w:eastAsia="Arial" w:hAnsi="Arial"/>
                <w:sz w:val="11"/>
                <w:szCs w:val="11"/>
                <w:b w:val="1"/>
                <w:bCs w:val="1"/>
                <w:color w:val="auto"/>
              </w:rPr>
              <w:t>Substandard</w:t>
            </w:r>
          </w:p>
        </w:tc>
        <w:tc>
          <w:tcPr>
            <w:tcW w:w="320" w:type="dxa"/>
            <w:vAlign w:val="bottom"/>
          </w:tcPr>
          <w:p>
            <w:pPr>
              <w:spacing w:after="0"/>
              <w:rPr>
                <w:sz w:val="9"/>
                <w:szCs w:val="9"/>
                <w:color w:val="auto"/>
              </w:rPr>
            </w:pPr>
          </w:p>
        </w:tc>
        <w:tc>
          <w:tcPr>
            <w:tcW w:w="1040" w:type="dxa"/>
            <w:vAlign w:val="bottom"/>
            <w:vMerge w:val="restart"/>
          </w:tcPr>
          <w:p>
            <w:pPr>
              <w:jc w:val="right"/>
              <w:ind w:right="49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27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Mention</w:t>
            </w: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Non-accrual</w:t>
            </w: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7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Commercial loans</w:t>
            </w:r>
          </w:p>
        </w:tc>
        <w:tc>
          <w:tcPr>
            <w:tcW w:w="320" w:type="dxa"/>
            <w:vAlign w:val="bottom"/>
            <w:tcBorders>
              <w:top w:val="single" w:sz="8" w:color="auto"/>
            </w:tcBorders>
            <w:shd w:val="clear" w:color="auto" w:fill="E0E7ED"/>
          </w:tcPr>
          <w:p>
            <w:pPr>
              <w:spacing w:after="0"/>
              <w:rPr>
                <w:sz w:val="16"/>
                <w:szCs w:val="16"/>
                <w:color w:val="auto"/>
              </w:rPr>
            </w:pPr>
          </w:p>
        </w:tc>
        <w:tc>
          <w:tcPr>
            <w:tcW w:w="10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0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0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320" w:type="dxa"/>
            <w:vAlign w:val="bottom"/>
            <w:tcBorders>
              <w:top w:val="single" w:sz="8" w:color="auto"/>
            </w:tcBorders>
            <w:shd w:val="clear" w:color="auto" w:fill="E0E7ED"/>
          </w:tcPr>
          <w:p>
            <w:pPr>
              <w:spacing w:after="0"/>
              <w:rPr>
                <w:sz w:val="16"/>
                <w:szCs w:val="16"/>
                <w:color w:val="auto"/>
              </w:rPr>
            </w:pPr>
          </w:p>
        </w:tc>
        <w:tc>
          <w:tcPr>
            <w:tcW w:w="104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3,765,745</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500,705</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121,321</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87,567</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38,205</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4,513,543</w:t>
            </w:r>
          </w:p>
        </w:tc>
        <w:tc>
          <w:tcPr>
            <w:tcW w:w="0" w:type="dxa"/>
            <w:vAlign w:val="bottom"/>
          </w:tcPr>
          <w:p>
            <w:pPr>
              <w:spacing w:after="0"/>
              <w:rPr>
                <w:sz w:val="1"/>
                <w:szCs w:val="1"/>
                <w:color w:val="auto"/>
              </w:rPr>
            </w:pPr>
          </w:p>
        </w:tc>
      </w:tr>
      <w:tr>
        <w:trPr>
          <w:trHeight w:val="222"/>
        </w:trPr>
        <w:tc>
          <w:tcPr>
            <w:tcW w:w="27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4,571,478</w:t>
            </w:r>
          </w:p>
        </w:tc>
        <w:tc>
          <w:tcPr>
            <w:tcW w:w="8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822,841</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137,373</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34,375</w:t>
            </w: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7,699</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5,573,766</w:t>
            </w:r>
          </w:p>
        </w:tc>
        <w:tc>
          <w:tcPr>
            <w:tcW w:w="0" w:type="dxa"/>
            <w:vAlign w:val="bottom"/>
          </w:tcPr>
          <w:p>
            <w:pPr>
              <w:spacing w:after="0"/>
              <w:rPr>
                <w:sz w:val="1"/>
                <w:szCs w:val="1"/>
                <w:color w:val="auto"/>
              </w:rPr>
            </w:pPr>
          </w:p>
        </w:tc>
      </w:tr>
      <w:tr>
        <w:trPr>
          <w:trHeight w:val="203"/>
        </w:trPr>
        <w:tc>
          <w:tcPr>
            <w:tcW w:w="270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Real estate construction</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951,758</w:t>
            </w: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68,016</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26,116</w:t>
            </w:r>
          </w:p>
        </w:tc>
        <w:tc>
          <w:tcPr>
            <w:tcW w:w="8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5,270</w:t>
            </w:r>
          </w:p>
        </w:tc>
        <w:tc>
          <w:tcPr>
            <w:tcW w:w="10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1,051,179</w:t>
            </w:r>
          </w:p>
        </w:tc>
        <w:tc>
          <w:tcPr>
            <w:tcW w:w="0" w:type="dxa"/>
            <w:vAlign w:val="bottom"/>
          </w:tcPr>
          <w:p>
            <w:pPr>
              <w:spacing w:after="0"/>
              <w:rPr>
                <w:sz w:val="1"/>
                <w:szCs w:val="1"/>
                <w:color w:val="auto"/>
              </w:rPr>
            </w:pPr>
          </w:p>
        </w:tc>
      </w:tr>
      <w:tr>
        <w:trPr>
          <w:trHeight w:val="212"/>
        </w:trPr>
        <w:tc>
          <w:tcPr>
            <w:tcW w:w="270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commercial loans</w:t>
            </w: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9,288,981</w:t>
            </w: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1,391,562</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284,810</w:t>
            </w:r>
          </w:p>
        </w:tc>
        <w:tc>
          <w:tcPr>
            <w:tcW w:w="80" w:type="dxa"/>
            <w:vAlign w:val="bottom"/>
            <w:shd w:val="clear" w:color="auto" w:fill="E0E7ED"/>
          </w:tcPr>
          <w:p>
            <w:pPr>
              <w:spacing w:after="0"/>
              <w:rPr>
                <w:sz w:val="18"/>
                <w:szCs w:val="18"/>
                <w:color w:val="auto"/>
              </w:rPr>
            </w:pPr>
          </w:p>
        </w:tc>
        <w:tc>
          <w:tcPr>
            <w:tcW w:w="22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127,212</w:t>
            </w:r>
          </w:p>
        </w:tc>
        <w:tc>
          <w:tcPr>
            <w:tcW w:w="10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45,923</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11,138,488</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Retail loans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Retail real estate</w:t>
            </w: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2,220,625</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7,344</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6,696</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8,410</w:t>
            </w: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2,630</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2,245,705</w:t>
            </w:r>
          </w:p>
        </w:tc>
        <w:tc>
          <w:tcPr>
            <w:tcW w:w="0" w:type="dxa"/>
            <w:vAlign w:val="bottom"/>
          </w:tcPr>
          <w:p>
            <w:pPr>
              <w:spacing w:after="0"/>
              <w:rPr>
                <w:sz w:val="1"/>
                <w:szCs w:val="1"/>
                <w:color w:val="auto"/>
              </w:rPr>
            </w:pPr>
          </w:p>
        </w:tc>
      </w:tr>
      <w:tr>
        <w:trPr>
          <w:trHeight w:val="203"/>
        </w:trPr>
        <w:tc>
          <w:tcPr>
            <w:tcW w:w="2700" w:type="dxa"/>
            <w:vAlign w:val="bottom"/>
          </w:tcPr>
          <w:p>
            <w:pPr>
              <w:ind w:left="140"/>
              <w:spacing w:after="0"/>
              <w:rPr>
                <w:sz w:val="20"/>
                <w:szCs w:val="20"/>
                <w:color w:val="auto"/>
              </w:rPr>
            </w:pPr>
            <w:r>
              <w:rPr>
                <w:rFonts w:ascii="Arial" w:cs="Arial" w:eastAsia="Arial" w:hAnsi="Arial"/>
                <w:sz w:val="14"/>
                <w:szCs w:val="14"/>
                <w:color w:val="auto"/>
              </w:rPr>
              <w:t>Retail other</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483,739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484,164</w:t>
            </w:r>
          </w:p>
        </w:tc>
        <w:tc>
          <w:tcPr>
            <w:tcW w:w="0" w:type="dxa"/>
            <w:vAlign w:val="bottom"/>
          </w:tcPr>
          <w:p>
            <w:pPr>
              <w:spacing w:after="0"/>
              <w:rPr>
                <w:sz w:val="1"/>
                <w:szCs w:val="1"/>
                <w:color w:val="auto"/>
              </w:rPr>
            </w:pPr>
          </w:p>
        </w:tc>
      </w:tr>
      <w:tr>
        <w:trPr>
          <w:trHeight w:val="203"/>
        </w:trPr>
        <w:tc>
          <w:tcPr>
            <w:tcW w:w="27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retail loans</w:t>
            </w:r>
          </w:p>
        </w:tc>
        <w:tc>
          <w:tcPr>
            <w:tcW w:w="320" w:type="dxa"/>
            <w:vAlign w:val="bottom"/>
            <w:tcBorders>
              <w:top w:val="single" w:sz="8" w:color="auto"/>
              <w:bottom w:val="single" w:sz="8" w:color="auto"/>
            </w:tcBorders>
            <w:shd w:val="clear" w:color="auto" w:fill="E0E7ED"/>
          </w:tcPr>
          <w:p>
            <w:pPr>
              <w:spacing w:after="0"/>
              <w:rPr>
                <w:sz w:val="17"/>
                <w:szCs w:val="17"/>
                <w:color w:val="auto"/>
              </w:rPr>
            </w:pP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2,704,364</w:t>
            </w:r>
          </w:p>
        </w:tc>
        <w:tc>
          <w:tcPr>
            <w:tcW w:w="8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bottom w:val="single" w:sz="8" w:color="auto"/>
            </w:tcBorders>
            <w:shd w:val="clear" w:color="auto" w:fill="E0E7ED"/>
          </w:tcPr>
          <w:p>
            <w:pPr>
              <w:spacing w:after="0"/>
              <w:rPr>
                <w:sz w:val="17"/>
                <w:szCs w:val="17"/>
                <w:color w:val="auto"/>
              </w:rPr>
            </w:pPr>
          </w:p>
        </w:tc>
        <w:tc>
          <w:tcPr>
            <w:tcW w:w="10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7,494</w:t>
            </w:r>
          </w:p>
        </w:tc>
        <w:tc>
          <w:tcPr>
            <w:tcW w:w="80" w:type="dxa"/>
            <w:vAlign w:val="bottom"/>
            <w:tcBorders>
              <w:top w:val="single" w:sz="8" w:color="E0E7ED"/>
            </w:tcBorders>
            <w:shd w:val="clear" w:color="auto" w:fill="E0E7ED"/>
          </w:tcPr>
          <w:p>
            <w:pPr>
              <w:spacing w:after="0"/>
              <w:rPr>
                <w:sz w:val="17"/>
                <w:szCs w:val="17"/>
                <w:color w:val="auto"/>
              </w:rPr>
            </w:pPr>
          </w:p>
        </w:tc>
        <w:tc>
          <w:tcPr>
            <w:tcW w:w="280" w:type="dxa"/>
            <w:vAlign w:val="bottom"/>
            <w:tcBorders>
              <w:top w:val="single" w:sz="8" w:color="auto"/>
              <w:bottom w:val="single" w:sz="8" w:color="auto"/>
            </w:tcBorders>
            <w:shd w:val="clear" w:color="auto" w:fill="E0E7ED"/>
          </w:tcPr>
          <w:p>
            <w:pPr>
              <w:spacing w:after="0"/>
              <w:rPr>
                <w:sz w:val="17"/>
                <w:szCs w:val="17"/>
                <w:color w:val="auto"/>
              </w:rPr>
            </w:pPr>
          </w:p>
        </w:tc>
        <w:tc>
          <w:tcPr>
            <w:tcW w:w="10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6,696</w:t>
            </w:r>
          </w:p>
        </w:tc>
        <w:tc>
          <w:tcPr>
            <w:tcW w:w="80" w:type="dxa"/>
            <w:vAlign w:val="bottom"/>
            <w:tcBorders>
              <w:top w:val="single" w:sz="8" w:color="E0E7ED"/>
            </w:tcBorders>
            <w:shd w:val="clear" w:color="auto" w:fill="E0E7ED"/>
          </w:tcPr>
          <w:p>
            <w:pPr>
              <w:spacing w:after="0"/>
              <w:rPr>
                <w:sz w:val="17"/>
                <w:szCs w:val="17"/>
                <w:color w:val="auto"/>
              </w:rPr>
            </w:pPr>
          </w:p>
        </w:tc>
        <w:tc>
          <w:tcPr>
            <w:tcW w:w="220" w:type="dxa"/>
            <w:vAlign w:val="bottom"/>
            <w:tcBorders>
              <w:top w:val="single" w:sz="8" w:color="auto"/>
              <w:bottom w:val="single" w:sz="8" w:color="auto"/>
            </w:tcBorders>
            <w:shd w:val="clear" w:color="auto" w:fill="E0E7ED"/>
          </w:tcPr>
          <w:p>
            <w:pPr>
              <w:spacing w:after="0"/>
              <w:rPr>
                <w:sz w:val="17"/>
                <w:szCs w:val="17"/>
                <w:color w:val="auto"/>
              </w:rPr>
            </w:pPr>
          </w:p>
        </w:tc>
        <w:tc>
          <w:tcPr>
            <w:tcW w:w="1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8,591</w:t>
            </w:r>
          </w:p>
        </w:tc>
        <w:tc>
          <w:tcPr>
            <w:tcW w:w="10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bottom w:val="single" w:sz="8" w:color="auto"/>
            </w:tcBorders>
            <w:shd w:val="clear" w:color="auto" w:fill="E0E7ED"/>
          </w:tcPr>
          <w:p>
            <w:pPr>
              <w:spacing w:after="0"/>
              <w:rPr>
                <w:sz w:val="17"/>
                <w:szCs w:val="17"/>
                <w:color w:val="auto"/>
              </w:rPr>
            </w:pPr>
          </w:p>
        </w:tc>
        <w:tc>
          <w:tcPr>
            <w:tcW w:w="1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2,724</w:t>
            </w:r>
          </w:p>
        </w:tc>
        <w:tc>
          <w:tcPr>
            <w:tcW w:w="10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bottom w:val="single" w:sz="8" w:color="auto"/>
            </w:tcBorders>
            <w:shd w:val="clear" w:color="auto" w:fill="E0E7ED"/>
          </w:tcPr>
          <w:p>
            <w:pPr>
              <w:spacing w:after="0"/>
              <w:rPr>
                <w:sz w:val="17"/>
                <w:szCs w:val="17"/>
                <w:color w:val="auto"/>
              </w:rPr>
            </w:pP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2,729,869</w:t>
            </w:r>
          </w:p>
        </w:tc>
        <w:tc>
          <w:tcPr>
            <w:tcW w:w="0" w:type="dxa"/>
            <w:vAlign w:val="bottom"/>
          </w:tcPr>
          <w:p>
            <w:pPr>
              <w:spacing w:after="0"/>
              <w:rPr>
                <w:sz w:val="1"/>
                <w:szCs w:val="1"/>
                <w:color w:val="auto"/>
              </w:rPr>
            </w:pPr>
          </w:p>
        </w:tc>
      </w:tr>
      <w:tr>
        <w:trPr>
          <w:trHeight w:val="212"/>
        </w:trPr>
        <w:tc>
          <w:tcPr>
            <w:tcW w:w="2700" w:type="dxa"/>
            <w:vAlign w:val="bottom"/>
          </w:tcPr>
          <w:p>
            <w:pPr>
              <w:ind w:left="20"/>
              <w:spacing w:after="0"/>
              <w:rPr>
                <w:sz w:val="20"/>
                <w:szCs w:val="20"/>
                <w:color w:val="auto"/>
              </w:rPr>
            </w:pPr>
            <w:r>
              <w:rPr>
                <w:rFonts w:ascii="Arial" w:cs="Arial" w:eastAsia="Arial" w:hAnsi="Arial"/>
                <w:sz w:val="14"/>
                <w:szCs w:val="14"/>
                <w:color w:val="auto"/>
              </w:rPr>
              <w:t>Total portfolio loans</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11,993,345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1,399,056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291,506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135,803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48,647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13,868,357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5"/>
          </w:tcPr>
          <w:p>
            <w:pPr>
              <w:ind w:left="460"/>
              <w:spacing w:after="0"/>
              <w:rPr>
                <w:sz w:val="20"/>
                <w:szCs w:val="20"/>
                <w:color w:val="auto"/>
              </w:rPr>
            </w:pPr>
            <w:r>
              <w:rPr>
                <w:rFonts w:ascii="Arial" w:cs="Arial" w:eastAsia="Arial" w:hAnsi="Arial"/>
                <w:sz w:val="11"/>
                <w:szCs w:val="11"/>
                <w:b w:val="1"/>
                <w:bCs w:val="1"/>
                <w:color w:val="auto"/>
              </w:rPr>
              <w:t>As of December 31, 2024</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72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Pr>
          <w:p>
            <w:pPr>
              <w:spacing w:after="0"/>
              <w:rPr>
                <w:sz w:val="9"/>
                <w:szCs w:val="9"/>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Pass</w:t>
            </w:r>
          </w:p>
        </w:tc>
        <w:tc>
          <w:tcPr>
            <w:tcW w:w="300" w:type="dxa"/>
            <w:vAlign w:val="bottom"/>
          </w:tcPr>
          <w:p>
            <w:pPr>
              <w:spacing w:after="0"/>
              <w:rPr>
                <w:sz w:val="9"/>
                <w:szCs w:val="9"/>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Watch</w:t>
            </w:r>
          </w:p>
        </w:tc>
        <w:tc>
          <w:tcPr>
            <w:tcW w:w="280" w:type="dxa"/>
            <w:vAlign w:val="bottom"/>
          </w:tcPr>
          <w:p>
            <w:pPr>
              <w:spacing w:after="0"/>
              <w:rPr>
                <w:sz w:val="9"/>
                <w:szCs w:val="9"/>
                <w:color w:val="auto"/>
              </w:rPr>
            </w:pPr>
          </w:p>
        </w:tc>
        <w:tc>
          <w:tcPr>
            <w:tcW w:w="1160" w:type="dxa"/>
            <w:vAlign w:val="bottom"/>
            <w:gridSpan w:val="2"/>
          </w:tcPr>
          <w:p>
            <w:pPr>
              <w:jc w:val="center"/>
              <w:ind w:right="360"/>
              <w:spacing w:after="0" w:line="107" w:lineRule="exact"/>
              <w:rPr>
                <w:sz w:val="20"/>
                <w:szCs w:val="20"/>
                <w:color w:val="auto"/>
              </w:rPr>
            </w:pPr>
            <w:r>
              <w:rPr>
                <w:rFonts w:ascii="Arial" w:cs="Arial" w:eastAsia="Arial" w:hAnsi="Arial"/>
                <w:sz w:val="11"/>
                <w:szCs w:val="11"/>
                <w:b w:val="1"/>
                <w:bCs w:val="1"/>
                <w:color w:val="auto"/>
              </w:rPr>
              <w:t>Special</w:t>
            </w:r>
          </w:p>
        </w:tc>
        <w:tc>
          <w:tcPr>
            <w:tcW w:w="220" w:type="dxa"/>
            <w:vAlign w:val="bottom"/>
          </w:tcPr>
          <w:p>
            <w:pPr>
              <w:spacing w:after="0"/>
              <w:rPr>
                <w:sz w:val="9"/>
                <w:szCs w:val="9"/>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Substandard</w:t>
            </w:r>
          </w:p>
        </w:tc>
        <w:tc>
          <w:tcPr>
            <w:tcW w:w="220" w:type="dxa"/>
            <w:vAlign w:val="bottom"/>
          </w:tcPr>
          <w:p>
            <w:pPr>
              <w:spacing w:after="0"/>
              <w:rPr>
                <w:sz w:val="9"/>
                <w:szCs w:val="9"/>
                <w:color w:val="auto"/>
              </w:rPr>
            </w:pPr>
          </w:p>
        </w:tc>
        <w:tc>
          <w:tcPr>
            <w:tcW w:w="1220" w:type="dxa"/>
            <w:vAlign w:val="bottom"/>
            <w:gridSpan w:val="2"/>
          </w:tcPr>
          <w:p>
            <w:pPr>
              <w:jc w:val="center"/>
              <w:ind w:right="300"/>
              <w:spacing w:after="0" w:line="107" w:lineRule="exact"/>
              <w:rPr>
                <w:sz w:val="20"/>
                <w:szCs w:val="20"/>
                <w:color w:val="auto"/>
              </w:rPr>
            </w:pPr>
            <w:r>
              <w:rPr>
                <w:rFonts w:ascii="Arial" w:cs="Arial" w:eastAsia="Arial" w:hAnsi="Arial"/>
                <w:sz w:val="11"/>
                <w:szCs w:val="11"/>
                <w:b w:val="1"/>
                <w:bCs w:val="1"/>
                <w:color w:val="auto"/>
              </w:rPr>
              <w:t>Substandard</w:t>
            </w:r>
          </w:p>
        </w:tc>
        <w:tc>
          <w:tcPr>
            <w:tcW w:w="320" w:type="dxa"/>
            <w:vAlign w:val="bottom"/>
          </w:tcPr>
          <w:p>
            <w:pPr>
              <w:spacing w:after="0"/>
              <w:rPr>
                <w:sz w:val="9"/>
                <w:szCs w:val="9"/>
                <w:color w:val="auto"/>
              </w:rPr>
            </w:pPr>
          </w:p>
        </w:tc>
        <w:tc>
          <w:tcPr>
            <w:tcW w:w="1040" w:type="dxa"/>
            <w:vAlign w:val="bottom"/>
            <w:vMerge w:val="restart"/>
          </w:tcPr>
          <w:p>
            <w:pPr>
              <w:jc w:val="right"/>
              <w:ind w:right="4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27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Mention</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Non-accrual</w:t>
            </w: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7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Commercial loans</w:t>
            </w:r>
          </w:p>
        </w:tc>
        <w:tc>
          <w:tcPr>
            <w:tcW w:w="320" w:type="dxa"/>
            <w:vAlign w:val="bottom"/>
            <w:tcBorders>
              <w:top w:val="single" w:sz="8" w:color="auto"/>
            </w:tcBorders>
            <w:shd w:val="clear" w:color="auto" w:fill="E0E7ED"/>
          </w:tcPr>
          <w:p>
            <w:pPr>
              <w:spacing w:after="0"/>
              <w:rPr>
                <w:sz w:val="16"/>
                <w:szCs w:val="16"/>
                <w:color w:val="auto"/>
              </w:rPr>
            </w:pPr>
          </w:p>
        </w:tc>
        <w:tc>
          <w:tcPr>
            <w:tcW w:w="102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30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20" w:type="dxa"/>
            <w:vAlign w:val="bottom"/>
            <w:tcBorders>
              <w:top w:val="single" w:sz="8" w:color="auto"/>
            </w:tcBorders>
            <w:shd w:val="clear" w:color="auto" w:fill="E0E7ED"/>
          </w:tcPr>
          <w:p>
            <w:pPr>
              <w:spacing w:after="0"/>
              <w:rPr>
                <w:sz w:val="16"/>
                <w:szCs w:val="16"/>
                <w:color w:val="auto"/>
              </w:rPr>
            </w:pPr>
          </w:p>
        </w:tc>
        <w:tc>
          <w:tcPr>
            <w:tcW w:w="104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1,545,338</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281,424</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36,152</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37,749</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3,852</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1,904,515</w:t>
            </w:r>
          </w:p>
        </w:tc>
        <w:tc>
          <w:tcPr>
            <w:tcW w:w="0" w:type="dxa"/>
            <w:vAlign w:val="bottom"/>
          </w:tcPr>
          <w:p>
            <w:pPr>
              <w:spacing w:after="0"/>
              <w:rPr>
                <w:sz w:val="1"/>
                <w:szCs w:val="1"/>
                <w:color w:val="auto"/>
              </w:rPr>
            </w:pPr>
          </w:p>
        </w:tc>
      </w:tr>
      <w:tr>
        <w:trPr>
          <w:trHeight w:val="222"/>
        </w:trPr>
        <w:tc>
          <w:tcPr>
            <w:tcW w:w="27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320" w:type="dxa"/>
            <w:vAlign w:val="bottom"/>
            <w:shd w:val="clear" w:color="auto" w:fill="E0E7ED"/>
          </w:tcPr>
          <w:p>
            <w:pPr>
              <w:spacing w:after="0"/>
              <w:rPr>
                <w:sz w:val="19"/>
                <w:szCs w:val="19"/>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2,744,018</w:t>
            </w: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438,945</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55,041</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16,507</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15,053</w:t>
            </w: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3,269,564</w:t>
            </w:r>
          </w:p>
        </w:tc>
        <w:tc>
          <w:tcPr>
            <w:tcW w:w="0" w:type="dxa"/>
            <w:vAlign w:val="bottom"/>
          </w:tcPr>
          <w:p>
            <w:pPr>
              <w:spacing w:after="0"/>
              <w:rPr>
                <w:sz w:val="1"/>
                <w:szCs w:val="1"/>
                <w:color w:val="auto"/>
              </w:rPr>
            </w:pPr>
          </w:p>
        </w:tc>
      </w:tr>
      <w:tr>
        <w:trPr>
          <w:trHeight w:val="203"/>
        </w:trPr>
        <w:tc>
          <w:tcPr>
            <w:tcW w:w="272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Real estate construction</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345,908</w:t>
            </w:r>
          </w:p>
        </w:tc>
        <w:tc>
          <w:tcPr>
            <w:tcW w:w="10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26,833</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8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5,224</w:t>
            </w:r>
          </w:p>
        </w:tc>
        <w:tc>
          <w:tcPr>
            <w:tcW w:w="8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378,209</w:t>
            </w:r>
          </w:p>
        </w:tc>
        <w:tc>
          <w:tcPr>
            <w:tcW w:w="0" w:type="dxa"/>
            <w:vAlign w:val="bottom"/>
          </w:tcPr>
          <w:p>
            <w:pPr>
              <w:spacing w:after="0"/>
              <w:rPr>
                <w:sz w:val="1"/>
                <w:szCs w:val="1"/>
                <w:color w:val="auto"/>
              </w:rPr>
            </w:pPr>
          </w:p>
        </w:tc>
      </w:tr>
      <w:tr>
        <w:trPr>
          <w:trHeight w:val="212"/>
        </w:trPr>
        <w:tc>
          <w:tcPr>
            <w:tcW w:w="272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commercial loans</w:t>
            </w:r>
          </w:p>
        </w:tc>
        <w:tc>
          <w:tcPr>
            <w:tcW w:w="32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4,635,264</w:t>
            </w:r>
          </w:p>
        </w:tc>
        <w:tc>
          <w:tcPr>
            <w:tcW w:w="10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747,202</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91,414</w:t>
            </w:r>
          </w:p>
        </w:tc>
        <w:tc>
          <w:tcPr>
            <w:tcW w:w="80" w:type="dxa"/>
            <w:vAlign w:val="bottom"/>
            <w:shd w:val="clear" w:color="auto" w:fill="E0E7ED"/>
          </w:tcPr>
          <w:p>
            <w:pPr>
              <w:spacing w:after="0"/>
              <w:rPr>
                <w:sz w:val="18"/>
                <w:szCs w:val="18"/>
                <w:color w:val="auto"/>
              </w:rPr>
            </w:pPr>
          </w:p>
        </w:tc>
        <w:tc>
          <w:tcPr>
            <w:tcW w:w="22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59,480</w:t>
            </w:r>
          </w:p>
        </w:tc>
        <w:tc>
          <w:tcPr>
            <w:tcW w:w="80" w:type="dxa"/>
            <w:vAlign w:val="bottom"/>
            <w:shd w:val="clear" w:color="auto" w:fill="E0E7ED"/>
          </w:tcPr>
          <w:p>
            <w:pPr>
              <w:spacing w:after="0"/>
              <w:rPr>
                <w:sz w:val="18"/>
                <w:szCs w:val="18"/>
                <w:color w:val="auto"/>
              </w:rPr>
            </w:pPr>
          </w:p>
        </w:tc>
        <w:tc>
          <w:tcPr>
            <w:tcW w:w="22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18,928</w:t>
            </w:r>
          </w:p>
        </w:tc>
        <w:tc>
          <w:tcPr>
            <w:tcW w:w="8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5,552,288</w:t>
            </w:r>
          </w:p>
        </w:tc>
        <w:tc>
          <w:tcPr>
            <w:tcW w:w="0" w:type="dxa"/>
            <w:vAlign w:val="bottom"/>
          </w:tcPr>
          <w:p>
            <w:pPr>
              <w:spacing w:after="0"/>
              <w:rPr>
                <w:sz w:val="1"/>
                <w:szCs w:val="1"/>
                <w:color w:val="auto"/>
              </w:rPr>
            </w:pPr>
          </w:p>
        </w:tc>
      </w:tr>
      <w:tr>
        <w:trPr>
          <w:trHeight w:val="186"/>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Retail loans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Retail real estate</w:t>
            </w:r>
          </w:p>
        </w:tc>
        <w:tc>
          <w:tcPr>
            <w:tcW w:w="32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1,680,640</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9,408</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882</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2,543</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2,984</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1,696,457</w:t>
            </w:r>
          </w:p>
        </w:tc>
        <w:tc>
          <w:tcPr>
            <w:tcW w:w="0" w:type="dxa"/>
            <w:vAlign w:val="bottom"/>
          </w:tcPr>
          <w:p>
            <w:pPr>
              <w:spacing w:after="0"/>
              <w:rPr>
                <w:sz w:val="1"/>
                <w:szCs w:val="1"/>
                <w:color w:val="auto"/>
              </w:rPr>
            </w:pPr>
          </w:p>
        </w:tc>
      </w:tr>
      <w:tr>
        <w:trPr>
          <w:trHeight w:val="203"/>
        </w:trPr>
        <w:tc>
          <w:tcPr>
            <w:tcW w:w="2720" w:type="dxa"/>
            <w:vAlign w:val="bottom"/>
          </w:tcPr>
          <w:p>
            <w:pPr>
              <w:ind w:left="140"/>
              <w:spacing w:after="0"/>
              <w:rPr>
                <w:sz w:val="20"/>
                <w:szCs w:val="20"/>
                <w:color w:val="auto"/>
              </w:rPr>
            </w:pPr>
            <w:r>
              <w:rPr>
                <w:rFonts w:ascii="Arial" w:cs="Arial" w:eastAsia="Arial" w:hAnsi="Arial"/>
                <w:sz w:val="14"/>
                <w:szCs w:val="14"/>
                <w:color w:val="auto"/>
              </w:rPr>
              <w:t>Retail other</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448,166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448,342</w:t>
            </w:r>
          </w:p>
        </w:tc>
        <w:tc>
          <w:tcPr>
            <w:tcW w:w="0" w:type="dxa"/>
            <w:vAlign w:val="bottom"/>
          </w:tcPr>
          <w:p>
            <w:pPr>
              <w:spacing w:after="0"/>
              <w:rPr>
                <w:sz w:val="1"/>
                <w:szCs w:val="1"/>
                <w:color w:val="auto"/>
              </w:rPr>
            </w:pPr>
          </w:p>
        </w:tc>
      </w:tr>
      <w:tr>
        <w:trPr>
          <w:trHeight w:val="203"/>
        </w:trPr>
        <w:tc>
          <w:tcPr>
            <w:tcW w:w="27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retail loans</w:t>
            </w:r>
          </w:p>
        </w:tc>
        <w:tc>
          <w:tcPr>
            <w:tcW w:w="320" w:type="dxa"/>
            <w:vAlign w:val="bottom"/>
            <w:tcBorders>
              <w:top w:val="single" w:sz="8" w:color="auto"/>
              <w:bottom w:val="single" w:sz="8" w:color="auto"/>
            </w:tcBorders>
            <w:shd w:val="clear" w:color="auto" w:fill="E0E7ED"/>
          </w:tcPr>
          <w:p>
            <w:pPr>
              <w:spacing w:after="0"/>
              <w:rPr>
                <w:sz w:val="17"/>
                <w:szCs w:val="17"/>
                <w:color w:val="auto"/>
              </w:rPr>
            </w:pPr>
          </w:p>
        </w:tc>
        <w:tc>
          <w:tcPr>
            <w:tcW w:w="10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2,128,806</w:t>
            </w:r>
          </w:p>
        </w:tc>
        <w:tc>
          <w:tcPr>
            <w:tcW w:w="10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bottom w:val="single" w:sz="8" w:color="auto"/>
            </w:tcBorders>
            <w:shd w:val="clear" w:color="auto" w:fill="E0E7ED"/>
          </w:tcPr>
          <w:p>
            <w:pPr>
              <w:spacing w:after="0"/>
              <w:rPr>
                <w:sz w:val="17"/>
                <w:szCs w:val="17"/>
                <w:color w:val="auto"/>
              </w:rPr>
            </w:pPr>
          </w:p>
        </w:tc>
        <w:tc>
          <w:tcPr>
            <w:tcW w:w="10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9,408</w:t>
            </w:r>
          </w:p>
        </w:tc>
        <w:tc>
          <w:tcPr>
            <w:tcW w:w="80" w:type="dxa"/>
            <w:vAlign w:val="bottom"/>
            <w:tcBorders>
              <w:top w:val="single" w:sz="8" w:color="E0E7ED"/>
            </w:tcBorders>
            <w:shd w:val="clear" w:color="auto" w:fill="E0E7ED"/>
          </w:tcPr>
          <w:p>
            <w:pPr>
              <w:spacing w:after="0"/>
              <w:rPr>
                <w:sz w:val="17"/>
                <w:szCs w:val="17"/>
                <w:color w:val="auto"/>
              </w:rPr>
            </w:pPr>
          </w:p>
        </w:tc>
        <w:tc>
          <w:tcPr>
            <w:tcW w:w="280" w:type="dxa"/>
            <w:vAlign w:val="bottom"/>
            <w:tcBorders>
              <w:top w:val="single" w:sz="8" w:color="auto"/>
              <w:bottom w:val="single" w:sz="8" w:color="auto"/>
            </w:tcBorders>
            <w:shd w:val="clear" w:color="auto" w:fill="E0E7ED"/>
          </w:tcPr>
          <w:p>
            <w:pPr>
              <w:spacing w:after="0"/>
              <w:rPr>
                <w:sz w:val="17"/>
                <w:szCs w:val="17"/>
                <w:color w:val="auto"/>
              </w:rPr>
            </w:pPr>
          </w:p>
        </w:tc>
        <w:tc>
          <w:tcPr>
            <w:tcW w:w="10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882</w:t>
            </w:r>
          </w:p>
        </w:tc>
        <w:tc>
          <w:tcPr>
            <w:tcW w:w="80" w:type="dxa"/>
            <w:vAlign w:val="bottom"/>
            <w:tcBorders>
              <w:top w:val="single" w:sz="8" w:color="E0E7ED"/>
            </w:tcBorders>
            <w:shd w:val="clear" w:color="auto" w:fill="E0E7ED"/>
          </w:tcPr>
          <w:p>
            <w:pPr>
              <w:spacing w:after="0"/>
              <w:rPr>
                <w:sz w:val="17"/>
                <w:szCs w:val="17"/>
                <w:color w:val="auto"/>
              </w:rPr>
            </w:pPr>
          </w:p>
        </w:tc>
        <w:tc>
          <w:tcPr>
            <w:tcW w:w="220" w:type="dxa"/>
            <w:vAlign w:val="bottom"/>
            <w:tcBorders>
              <w:top w:val="single" w:sz="8" w:color="auto"/>
              <w:bottom w:val="single" w:sz="8" w:color="auto"/>
            </w:tcBorders>
            <w:shd w:val="clear" w:color="auto" w:fill="E0E7ED"/>
          </w:tcPr>
          <w:p>
            <w:pPr>
              <w:spacing w:after="0"/>
              <w:rPr>
                <w:sz w:val="17"/>
                <w:szCs w:val="17"/>
                <w:color w:val="auto"/>
              </w:rPr>
            </w:pPr>
          </w:p>
        </w:tc>
        <w:tc>
          <w:tcPr>
            <w:tcW w:w="1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2,543</w:t>
            </w:r>
          </w:p>
        </w:tc>
        <w:tc>
          <w:tcPr>
            <w:tcW w:w="80" w:type="dxa"/>
            <w:vAlign w:val="bottom"/>
            <w:tcBorders>
              <w:top w:val="single" w:sz="8" w:color="E0E7ED"/>
            </w:tcBorders>
            <w:shd w:val="clear" w:color="auto" w:fill="E0E7ED"/>
          </w:tcPr>
          <w:p>
            <w:pPr>
              <w:spacing w:after="0"/>
              <w:rPr>
                <w:sz w:val="17"/>
                <w:szCs w:val="17"/>
                <w:color w:val="auto"/>
              </w:rPr>
            </w:pPr>
          </w:p>
        </w:tc>
        <w:tc>
          <w:tcPr>
            <w:tcW w:w="220" w:type="dxa"/>
            <w:vAlign w:val="bottom"/>
            <w:tcBorders>
              <w:top w:val="single" w:sz="8" w:color="auto"/>
              <w:bottom w:val="single" w:sz="8" w:color="auto"/>
            </w:tcBorders>
            <w:shd w:val="clear" w:color="auto" w:fill="E0E7ED"/>
          </w:tcPr>
          <w:p>
            <w:pPr>
              <w:spacing w:after="0"/>
              <w:rPr>
                <w:sz w:val="17"/>
                <w:szCs w:val="17"/>
                <w:color w:val="auto"/>
              </w:rPr>
            </w:pPr>
          </w:p>
        </w:tc>
        <w:tc>
          <w:tcPr>
            <w:tcW w:w="1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3,160</w:t>
            </w:r>
          </w:p>
        </w:tc>
        <w:tc>
          <w:tcPr>
            <w:tcW w:w="8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bottom w:val="single" w:sz="8" w:color="auto"/>
            </w:tcBorders>
            <w:shd w:val="clear" w:color="auto" w:fill="E0E7ED"/>
          </w:tcPr>
          <w:p>
            <w:pPr>
              <w:spacing w:after="0"/>
              <w:rPr>
                <w:sz w:val="17"/>
                <w:szCs w:val="17"/>
                <w:color w:val="auto"/>
              </w:rPr>
            </w:pP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2,144,799</w:t>
            </w:r>
          </w:p>
        </w:tc>
        <w:tc>
          <w:tcPr>
            <w:tcW w:w="0" w:type="dxa"/>
            <w:vAlign w:val="bottom"/>
          </w:tcPr>
          <w:p>
            <w:pPr>
              <w:spacing w:after="0"/>
              <w:rPr>
                <w:sz w:val="1"/>
                <w:szCs w:val="1"/>
                <w:color w:val="auto"/>
              </w:rPr>
            </w:pPr>
          </w:p>
        </w:tc>
      </w:tr>
      <w:tr>
        <w:trPr>
          <w:trHeight w:val="212"/>
        </w:trPr>
        <w:tc>
          <w:tcPr>
            <w:tcW w:w="2720" w:type="dxa"/>
            <w:vAlign w:val="bottom"/>
          </w:tcPr>
          <w:p>
            <w:pPr>
              <w:ind w:left="20"/>
              <w:spacing w:after="0"/>
              <w:rPr>
                <w:sz w:val="20"/>
                <w:szCs w:val="20"/>
                <w:color w:val="auto"/>
              </w:rPr>
            </w:pPr>
            <w:r>
              <w:rPr>
                <w:rFonts w:ascii="Arial" w:cs="Arial" w:eastAsia="Arial" w:hAnsi="Arial"/>
                <w:sz w:val="14"/>
                <w:szCs w:val="14"/>
                <w:color w:val="auto"/>
              </w:rPr>
              <w:t>Total portfolio loans</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6,764,070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756,610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92,296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62,023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7,697,087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Risk grades of portfolio loans and gross charge-offs are presented in the tables below by lending activity, further sorted by origination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gridSpan w:val="9"/>
          </w:tcPr>
          <w:p>
            <w:pPr>
              <w:jc w:val="right"/>
              <w:spacing w:after="0"/>
              <w:rPr>
                <w:sz w:val="20"/>
                <w:szCs w:val="20"/>
                <w:color w:val="auto"/>
              </w:rPr>
            </w:pPr>
            <w:r>
              <w:rPr>
                <w:rFonts w:ascii="Arial" w:cs="Arial" w:eastAsia="Arial" w:hAnsi="Arial"/>
                <w:sz w:val="11"/>
                <w:szCs w:val="11"/>
                <w:b w:val="1"/>
                <w:bCs w:val="1"/>
                <w:color w:val="auto"/>
              </w:rPr>
              <w:t>As of and For The Three Months Ended March 31, 2025</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39"/>
        </w:trPr>
        <w:tc>
          <w:tcPr>
            <w:tcW w:w="2560" w:type="dxa"/>
            <w:vAlign w:val="bottom"/>
            <w:gridSpan w:val="2"/>
          </w:tcPr>
          <w:p>
            <w:pPr>
              <w:ind w:left="20"/>
              <w:spacing w:after="0"/>
              <w:rPr>
                <w:sz w:val="20"/>
                <w:szCs w:val="20"/>
                <w:color w:val="auto"/>
              </w:rPr>
            </w:pPr>
            <w:r>
              <w:rPr>
                <w:rFonts w:ascii="Arial" w:cs="Arial" w:eastAsia="Arial" w:hAnsi="Arial"/>
                <w:sz w:val="11"/>
                <w:szCs w:val="11"/>
                <w:b w:val="1"/>
                <w:bCs w:val="1"/>
                <w:color w:val="auto"/>
              </w:rPr>
              <w:t>Risk Grade Ratings</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gridSpan w:val="9"/>
          </w:tcPr>
          <w:p>
            <w:pPr>
              <w:jc w:val="right"/>
              <w:spacing w:after="0"/>
              <w:rPr>
                <w:sz w:val="20"/>
                <w:szCs w:val="20"/>
                <w:color w:val="auto"/>
              </w:rPr>
            </w:pPr>
            <w:r>
              <w:rPr>
                <w:rFonts w:ascii="Arial" w:cs="Arial" w:eastAsia="Arial" w:hAnsi="Arial"/>
                <w:sz w:val="11"/>
                <w:szCs w:val="11"/>
                <w:b w:val="1"/>
                <w:bCs w:val="1"/>
                <w:color w:val="auto"/>
              </w:rPr>
              <w:t>Term Loans Amortized Cost Basis by Origination Year</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9"/>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0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E0E7ED"/>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E0E7ED"/>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Prior</w:t>
            </w:r>
          </w:p>
        </w:tc>
        <w:tc>
          <w:tcPr>
            <w:tcW w:w="100" w:type="dxa"/>
            <w:vAlign w:val="bottom"/>
            <w:tcBorders>
              <w:bottom w:val="single" w:sz="8" w:color="E0E7ED"/>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Loans</w:t>
            </w:r>
          </w:p>
        </w:tc>
        <w:tc>
          <w:tcPr>
            <w:tcW w:w="10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Total</w:t>
            </w:r>
          </w:p>
        </w:tc>
      </w:tr>
      <w:tr>
        <w:trPr>
          <w:trHeight w:val="13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C&amp;I and other commercial</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Pass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220,082</w:t>
            </w:r>
          </w:p>
        </w:tc>
        <w:tc>
          <w:tcPr>
            <w:tcW w:w="8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592,425</w:t>
            </w:r>
          </w:p>
        </w:tc>
        <w:tc>
          <w:tcPr>
            <w:tcW w:w="80" w:type="dxa"/>
            <w:vAlign w:val="bottom"/>
          </w:tcPr>
          <w:p>
            <w:pPr>
              <w:spacing w:after="0"/>
              <w:rPr>
                <w:sz w:val="12"/>
                <w:szCs w:val="12"/>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327,725</w:t>
            </w:r>
          </w:p>
        </w:tc>
        <w:tc>
          <w:tcPr>
            <w:tcW w:w="8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295,521</w:t>
            </w:r>
          </w:p>
        </w:tc>
        <w:tc>
          <w:tcPr>
            <w:tcW w:w="80" w:type="dxa"/>
            <w:vAlign w:val="bottom"/>
          </w:tcPr>
          <w:p>
            <w:pPr>
              <w:spacing w:after="0"/>
              <w:rPr>
                <w:sz w:val="12"/>
                <w:szCs w:val="12"/>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203,737</w:t>
            </w:r>
          </w:p>
        </w:tc>
        <w:tc>
          <w:tcPr>
            <w:tcW w:w="80" w:type="dxa"/>
            <w:vAlign w:val="bottom"/>
          </w:tcPr>
          <w:p>
            <w:pPr>
              <w:spacing w:after="0"/>
              <w:rPr>
                <w:sz w:val="12"/>
                <w:szCs w:val="12"/>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204,373</w:t>
            </w:r>
          </w:p>
        </w:tc>
        <w:tc>
          <w:tcPr>
            <w:tcW w:w="1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1,921,882</w:t>
            </w:r>
          </w:p>
        </w:tc>
        <w:tc>
          <w:tcPr>
            <w:tcW w:w="100" w:type="dxa"/>
            <w:vAlign w:val="bottom"/>
          </w:tcPr>
          <w:p>
            <w:pPr>
              <w:spacing w:after="0"/>
              <w:rPr>
                <w:sz w:val="12"/>
                <w:szCs w:val="12"/>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3,765,745</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Watch</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44,966</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64,433</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61,625</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60,613</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37,935</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23,765</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207,368</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500,705</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1,341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13,555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14,331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30,667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3,836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54,963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121,321</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5,248</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17,351</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21,219</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963</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5,349</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4,047</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33,390</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87,567</w:t>
            </w:r>
          </w:p>
        </w:tc>
      </w:tr>
      <w:tr>
        <w:trPr>
          <w:trHeight w:val="149"/>
        </w:trPr>
        <w:tc>
          <w:tcPr>
            <w:tcW w:w="2560" w:type="dxa"/>
            <w:vAlign w:val="bottom"/>
            <w:tcBorders>
              <w:bottom w:val="single" w:sz="8" w:color="E0E7ED"/>
            </w:tcBorders>
            <w:gridSpan w:val="2"/>
          </w:tcPr>
          <w:p>
            <w:pPr>
              <w:ind w:left="140"/>
              <w:spacing w:after="0"/>
              <w:rPr>
                <w:sz w:val="20"/>
                <w:szCs w:val="20"/>
                <w:color w:val="auto"/>
              </w:rPr>
            </w:pPr>
            <w:r>
              <w:rPr>
                <w:rFonts w:ascii="Arial" w:cs="Arial" w:eastAsia="Arial" w:hAnsi="Arial"/>
                <w:sz w:val="11"/>
                <w:szCs w:val="11"/>
                <w:color w:val="auto"/>
              </w:rPr>
              <w:t>Substandard non-accrual</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97</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2,939</w:t>
            </w:r>
          </w:p>
        </w:tc>
        <w:tc>
          <w:tcPr>
            <w:tcW w:w="8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804</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1,218</w:t>
            </w:r>
          </w:p>
        </w:tc>
        <w:tc>
          <w:tcPr>
            <w:tcW w:w="80" w:type="dxa"/>
            <w:vAlign w:val="bottom"/>
            <w:tcBorders>
              <w:bottom w:val="single" w:sz="8" w:color="E0E7ED"/>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196</w:t>
            </w:r>
          </w:p>
        </w:tc>
        <w:tc>
          <w:tcPr>
            <w:tcW w:w="80" w:type="dxa"/>
            <w:vAlign w:val="bottom"/>
            <w:tcBorders>
              <w:bottom w:val="single" w:sz="8" w:color="E0E7ED"/>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4,778</w:t>
            </w:r>
          </w:p>
        </w:tc>
        <w:tc>
          <w:tcPr>
            <w:tcW w:w="100" w:type="dxa"/>
            <w:vAlign w:val="bottom"/>
            <w:tcBorders>
              <w:bottom w:val="single" w:sz="8" w:color="E0E7ED"/>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28,173</w:t>
            </w:r>
          </w:p>
        </w:tc>
        <w:tc>
          <w:tcPr>
            <w:tcW w:w="10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38,205</w:t>
            </w:r>
          </w:p>
        </w:tc>
      </w:tr>
      <w:tr>
        <w:trPr>
          <w:trHeight w:val="13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Total C&amp;I and other commercial</w:t>
            </w:r>
          </w:p>
        </w:tc>
        <w:tc>
          <w:tcPr>
            <w:tcW w:w="220" w:type="dxa"/>
            <w:vAlign w:val="bottom"/>
            <w:tcBorders>
              <w:bottom w:val="single" w:sz="8" w:color="auto"/>
            </w:tcBorders>
            <w:shd w:val="clear" w:color="auto" w:fill="E0E7ED"/>
          </w:tcPr>
          <w:p>
            <w:pPr>
              <w:spacing w:after="0"/>
              <w:rPr>
                <w:sz w:val="12"/>
                <w:szCs w:val="12"/>
                <w:color w:val="auto"/>
              </w:rPr>
            </w:pPr>
          </w:p>
        </w:tc>
        <w:tc>
          <w:tcPr>
            <w:tcW w:w="78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271,734</w:t>
            </w:r>
          </w:p>
        </w:tc>
        <w:tc>
          <w:tcPr>
            <w:tcW w:w="80" w:type="dxa"/>
            <w:vAlign w:val="bottom"/>
            <w:shd w:val="clear" w:color="auto" w:fill="E0E7ED"/>
          </w:tcPr>
          <w:p>
            <w:pPr>
              <w:spacing w:after="0"/>
              <w:rPr>
                <w:sz w:val="12"/>
                <w:szCs w:val="12"/>
                <w:color w:val="auto"/>
              </w:rPr>
            </w:pPr>
          </w:p>
        </w:tc>
        <w:tc>
          <w:tcPr>
            <w:tcW w:w="240" w:type="dxa"/>
            <w:vAlign w:val="bottom"/>
            <w:tcBorders>
              <w:bottom w:val="single" w:sz="8" w:color="auto"/>
            </w:tcBorders>
            <w:shd w:val="clear" w:color="auto" w:fill="E0E7ED"/>
          </w:tcPr>
          <w:p>
            <w:pPr>
              <w:spacing w:after="0"/>
              <w:rPr>
                <w:sz w:val="12"/>
                <w:szCs w:val="12"/>
                <w:color w:val="auto"/>
              </w:rPr>
            </w:pPr>
          </w:p>
        </w:tc>
        <w:tc>
          <w:tcPr>
            <w:tcW w:w="78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690,703</w:t>
            </w:r>
          </w:p>
        </w:tc>
        <w:tc>
          <w:tcPr>
            <w:tcW w:w="80" w:type="dxa"/>
            <w:vAlign w:val="bottom"/>
            <w:shd w:val="clear" w:color="auto" w:fill="E0E7ED"/>
          </w:tcPr>
          <w:p>
            <w:pPr>
              <w:spacing w:after="0"/>
              <w:rPr>
                <w:sz w:val="12"/>
                <w:szCs w:val="12"/>
                <w:color w:val="auto"/>
              </w:rPr>
            </w:pPr>
          </w:p>
        </w:tc>
        <w:tc>
          <w:tcPr>
            <w:tcW w:w="220" w:type="dxa"/>
            <w:vAlign w:val="bottom"/>
            <w:tcBorders>
              <w:bottom w:val="single" w:sz="8" w:color="auto"/>
            </w:tcBorders>
            <w:shd w:val="clear" w:color="auto" w:fill="E0E7ED"/>
          </w:tcPr>
          <w:p>
            <w:pPr>
              <w:spacing w:after="0"/>
              <w:rPr>
                <w:sz w:val="12"/>
                <w:szCs w:val="12"/>
                <w:color w:val="auto"/>
              </w:rPr>
            </w:pPr>
          </w:p>
        </w:tc>
        <w:tc>
          <w:tcPr>
            <w:tcW w:w="80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425,704</w:t>
            </w:r>
          </w:p>
        </w:tc>
        <w:tc>
          <w:tcPr>
            <w:tcW w:w="80" w:type="dxa"/>
            <w:vAlign w:val="bottom"/>
            <w:shd w:val="clear" w:color="auto" w:fill="E0E7ED"/>
          </w:tcPr>
          <w:p>
            <w:pPr>
              <w:spacing w:after="0"/>
              <w:rPr>
                <w:sz w:val="12"/>
                <w:szCs w:val="12"/>
                <w:color w:val="auto"/>
              </w:rPr>
            </w:pPr>
          </w:p>
        </w:tc>
        <w:tc>
          <w:tcPr>
            <w:tcW w:w="240" w:type="dxa"/>
            <w:vAlign w:val="bottom"/>
            <w:tcBorders>
              <w:bottom w:val="single" w:sz="8" w:color="auto"/>
            </w:tcBorders>
            <w:shd w:val="clear" w:color="auto" w:fill="E0E7ED"/>
          </w:tcPr>
          <w:p>
            <w:pPr>
              <w:spacing w:after="0"/>
              <w:rPr>
                <w:sz w:val="12"/>
                <w:szCs w:val="12"/>
                <w:color w:val="auto"/>
              </w:rPr>
            </w:pPr>
          </w:p>
        </w:tc>
        <w:tc>
          <w:tcPr>
            <w:tcW w:w="78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388,982</w:t>
            </w:r>
          </w:p>
        </w:tc>
        <w:tc>
          <w:tcPr>
            <w:tcW w:w="80" w:type="dxa"/>
            <w:vAlign w:val="bottom"/>
            <w:shd w:val="clear" w:color="auto" w:fill="E0E7ED"/>
          </w:tcPr>
          <w:p>
            <w:pPr>
              <w:spacing w:after="0"/>
              <w:rPr>
                <w:sz w:val="12"/>
                <w:szCs w:val="12"/>
                <w:color w:val="auto"/>
              </w:rPr>
            </w:pPr>
          </w:p>
        </w:tc>
        <w:tc>
          <w:tcPr>
            <w:tcW w:w="360" w:type="dxa"/>
            <w:vAlign w:val="bottom"/>
            <w:tcBorders>
              <w:bottom w:val="single" w:sz="8" w:color="auto"/>
            </w:tcBorders>
            <w:shd w:val="clear" w:color="auto" w:fill="E0E7ED"/>
          </w:tcPr>
          <w:p>
            <w:pPr>
              <w:spacing w:after="0"/>
              <w:rPr>
                <w:sz w:val="12"/>
                <w:szCs w:val="12"/>
                <w:color w:val="auto"/>
              </w:rPr>
            </w:pPr>
          </w:p>
        </w:tc>
        <w:tc>
          <w:tcPr>
            <w:tcW w:w="6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251,053</w:t>
            </w:r>
          </w:p>
        </w:tc>
        <w:tc>
          <w:tcPr>
            <w:tcW w:w="80" w:type="dxa"/>
            <w:vAlign w:val="bottom"/>
            <w:shd w:val="clear" w:color="auto" w:fill="E0E7ED"/>
          </w:tcPr>
          <w:p>
            <w:pPr>
              <w:spacing w:after="0"/>
              <w:rPr>
                <w:sz w:val="12"/>
                <w:szCs w:val="12"/>
                <w:color w:val="auto"/>
              </w:rPr>
            </w:pPr>
          </w:p>
        </w:tc>
        <w:tc>
          <w:tcPr>
            <w:tcW w:w="360" w:type="dxa"/>
            <w:vAlign w:val="bottom"/>
            <w:tcBorders>
              <w:bottom w:val="single" w:sz="8" w:color="auto"/>
            </w:tcBorders>
            <w:shd w:val="clear" w:color="auto" w:fill="E0E7ED"/>
          </w:tcPr>
          <w:p>
            <w:pPr>
              <w:spacing w:after="0"/>
              <w:rPr>
                <w:sz w:val="12"/>
                <w:szCs w:val="12"/>
                <w:color w:val="auto"/>
              </w:rPr>
            </w:pPr>
          </w:p>
        </w:tc>
        <w:tc>
          <w:tcPr>
            <w:tcW w:w="6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239,591</w:t>
            </w:r>
          </w:p>
        </w:tc>
        <w:tc>
          <w:tcPr>
            <w:tcW w:w="100" w:type="dxa"/>
            <w:vAlign w:val="bottom"/>
            <w:shd w:val="clear" w:color="auto" w:fill="E0E7ED"/>
          </w:tcPr>
          <w:p>
            <w:pPr>
              <w:spacing w:after="0"/>
              <w:rPr>
                <w:sz w:val="12"/>
                <w:szCs w:val="12"/>
                <w:color w:val="auto"/>
              </w:rPr>
            </w:pPr>
          </w:p>
        </w:tc>
        <w:tc>
          <w:tcPr>
            <w:tcW w:w="140" w:type="dxa"/>
            <w:vAlign w:val="bottom"/>
            <w:tcBorders>
              <w:bottom w:val="single" w:sz="8" w:color="auto"/>
            </w:tcBorders>
            <w:shd w:val="clear" w:color="auto" w:fill="E0E7ED"/>
          </w:tcPr>
          <w:p>
            <w:pPr>
              <w:spacing w:after="0"/>
              <w:rPr>
                <w:sz w:val="12"/>
                <w:szCs w:val="12"/>
                <w:color w:val="auto"/>
              </w:rPr>
            </w:pPr>
          </w:p>
        </w:tc>
        <w:tc>
          <w:tcPr>
            <w:tcW w:w="8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2,245,776</w:t>
            </w:r>
          </w:p>
        </w:tc>
        <w:tc>
          <w:tcPr>
            <w:tcW w:w="100" w:type="dxa"/>
            <w:vAlign w:val="bottom"/>
            <w:shd w:val="clear" w:color="auto" w:fill="E0E7ED"/>
          </w:tcPr>
          <w:p>
            <w:pPr>
              <w:spacing w:after="0"/>
              <w:rPr>
                <w:sz w:val="12"/>
                <w:szCs w:val="12"/>
                <w:color w:val="auto"/>
              </w:rPr>
            </w:pPr>
          </w:p>
        </w:tc>
        <w:tc>
          <w:tcPr>
            <w:tcW w:w="220" w:type="dxa"/>
            <w:vAlign w:val="bottom"/>
            <w:tcBorders>
              <w:bottom w:val="single" w:sz="8" w:color="auto"/>
            </w:tcBorders>
            <w:shd w:val="clear" w:color="auto" w:fill="E0E7ED"/>
          </w:tcPr>
          <w:p>
            <w:pPr>
              <w:spacing w:after="0"/>
              <w:rPr>
                <w:sz w:val="12"/>
                <w:szCs w:val="12"/>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4,513,543</w:t>
            </w:r>
          </w:p>
        </w:tc>
      </w:tr>
      <w:tr>
        <w:trPr>
          <w:trHeight w:val="139"/>
        </w:trPr>
        <w:tc>
          <w:tcPr>
            <w:tcW w:w="2560" w:type="dxa"/>
            <w:vAlign w:val="bottom"/>
            <w:gridSpan w:val="2"/>
          </w:tcPr>
          <w:p>
            <w:pPr>
              <w:ind w:left="20"/>
              <w:spacing w:after="0"/>
              <w:rPr>
                <w:sz w:val="20"/>
                <w:szCs w:val="20"/>
                <w:color w:val="auto"/>
              </w:rPr>
            </w:pPr>
            <w:r>
              <w:rPr>
                <w:rFonts w:ascii="Arial" w:cs="Arial" w:eastAsia="Arial" w:hAnsi="Arial"/>
                <w:sz w:val="11"/>
                <w:szCs w:val="11"/>
                <w:color w:val="auto"/>
              </w:rPr>
              <w:t>Gross charge-offs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2,221</w:t>
            </w:r>
          </w:p>
        </w:tc>
        <w:tc>
          <w:tcPr>
            <w:tcW w:w="8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114</w:t>
            </w:r>
          </w:p>
        </w:tc>
        <w:tc>
          <w:tcPr>
            <w:tcW w:w="80" w:type="dxa"/>
            <w:vAlign w:val="bottom"/>
          </w:tcPr>
          <w:p>
            <w:pPr>
              <w:spacing w:after="0"/>
              <w:rPr>
                <w:sz w:val="12"/>
                <w:szCs w:val="12"/>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13,591</w:t>
            </w:r>
          </w:p>
        </w:tc>
        <w:tc>
          <w:tcPr>
            <w:tcW w:w="80" w:type="dxa"/>
            <w:vAlign w:val="bottom"/>
          </w:tcPr>
          <w:p>
            <w:pPr>
              <w:spacing w:after="0"/>
              <w:rPr>
                <w:sz w:val="12"/>
                <w:szCs w:val="12"/>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11,174</w:t>
            </w:r>
          </w:p>
        </w:tc>
        <w:tc>
          <w:tcPr>
            <w:tcW w:w="1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4,121</w:t>
            </w:r>
          </w:p>
        </w:tc>
        <w:tc>
          <w:tcPr>
            <w:tcW w:w="100" w:type="dxa"/>
            <w:vAlign w:val="bottom"/>
          </w:tcPr>
          <w:p>
            <w:pPr>
              <w:spacing w:after="0"/>
              <w:rPr>
                <w:sz w:val="12"/>
                <w:szCs w:val="12"/>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31,221</w:t>
            </w:r>
          </w:p>
        </w:tc>
      </w:tr>
      <w:tr>
        <w:trPr>
          <w:trHeight w:val="159"/>
        </w:trPr>
        <w:tc>
          <w:tcPr>
            <w:tcW w:w="24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7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7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8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7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60" w:type="dxa"/>
            <w:vAlign w:val="bottom"/>
            <w:shd w:val="clear" w:color="auto" w:fill="E0E7ED"/>
          </w:tcPr>
          <w:p>
            <w:pPr>
              <w:spacing w:after="0"/>
              <w:rPr>
                <w:sz w:val="13"/>
                <w:szCs w:val="13"/>
                <w:color w:val="auto"/>
              </w:rPr>
            </w:pPr>
          </w:p>
        </w:tc>
        <w:tc>
          <w:tcPr>
            <w:tcW w:w="6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60" w:type="dxa"/>
            <w:vAlign w:val="bottom"/>
            <w:shd w:val="clear" w:color="auto" w:fill="E0E7ED"/>
          </w:tcPr>
          <w:p>
            <w:pPr>
              <w:spacing w:after="0"/>
              <w:rPr>
                <w:sz w:val="13"/>
                <w:szCs w:val="13"/>
                <w:color w:val="auto"/>
              </w:rPr>
            </w:pPr>
          </w:p>
        </w:tc>
        <w:tc>
          <w:tcPr>
            <w:tcW w:w="6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140" w:type="dxa"/>
            <w:vAlign w:val="bottom"/>
            <w:shd w:val="clear" w:color="auto" w:fill="E0E7ED"/>
          </w:tcPr>
          <w:p>
            <w:pPr>
              <w:spacing w:after="0"/>
              <w:rPr>
                <w:sz w:val="13"/>
                <w:szCs w:val="13"/>
                <w:color w:val="auto"/>
              </w:rPr>
            </w:pPr>
          </w:p>
        </w:tc>
        <w:tc>
          <w:tcPr>
            <w:tcW w:w="8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800" w:type="dxa"/>
            <w:vAlign w:val="bottom"/>
            <w:shd w:val="clear" w:color="auto" w:fill="E0E7ED"/>
          </w:tcPr>
          <w:p>
            <w:pPr>
              <w:spacing w:after="0"/>
              <w:rPr>
                <w:sz w:val="13"/>
                <w:szCs w:val="13"/>
                <w:color w:val="auto"/>
              </w:rPr>
            </w:pPr>
          </w:p>
        </w:tc>
      </w:tr>
      <w:tr>
        <w:trPr>
          <w:trHeight w:val="149"/>
        </w:trPr>
        <w:tc>
          <w:tcPr>
            <w:tcW w:w="2560" w:type="dxa"/>
            <w:vAlign w:val="bottom"/>
            <w:gridSpan w:val="2"/>
          </w:tcPr>
          <w:p>
            <w:pPr>
              <w:ind w:left="20"/>
              <w:spacing w:after="0"/>
              <w:rPr>
                <w:sz w:val="20"/>
                <w:szCs w:val="20"/>
                <w:color w:val="auto"/>
              </w:rPr>
            </w:pPr>
            <w:r>
              <w:rPr>
                <w:rFonts w:ascii="Arial" w:cs="Arial" w:eastAsia="Arial" w:hAnsi="Arial"/>
                <w:sz w:val="11"/>
                <w:szCs w:val="11"/>
                <w:b w:val="1"/>
                <w:bCs w:val="1"/>
                <w:color w:val="auto"/>
              </w:rPr>
              <w:t>CRE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186,098</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448,045</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590,920</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1,078,055</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807,404</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792,088</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668,868</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4,571,478</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Watch</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25,271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157,620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118,044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112,461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146,922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116,367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146,156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822,841</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Special Mention</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19,377</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28,666</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1,189</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21,721</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24,376</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14,699</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27,345</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137,373</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Substandard</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2,760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17,106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1,609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4,498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8,402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34,375</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Substandard non-accrual</w:t>
            </w:r>
          </w:p>
        </w:tc>
        <w:tc>
          <w:tcPr>
            <w:tcW w:w="2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4,545</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3,151</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7,699</w:t>
            </w:r>
          </w:p>
        </w:tc>
      </w:tr>
      <w:tr>
        <w:trPr>
          <w:trHeight w:val="139"/>
        </w:trPr>
        <w:tc>
          <w:tcPr>
            <w:tcW w:w="2560" w:type="dxa"/>
            <w:vAlign w:val="bottom"/>
            <w:tcBorders>
              <w:bottom w:val="single" w:sz="8" w:color="E0E7ED"/>
            </w:tcBorders>
            <w:gridSpan w:val="2"/>
          </w:tcPr>
          <w:p>
            <w:pPr>
              <w:ind w:left="20"/>
              <w:spacing w:after="0"/>
              <w:rPr>
                <w:sz w:val="20"/>
                <w:szCs w:val="20"/>
                <w:color w:val="auto"/>
              </w:rPr>
            </w:pPr>
            <w:r>
              <w:rPr>
                <w:rFonts w:ascii="Arial" w:cs="Arial" w:eastAsia="Arial" w:hAnsi="Arial"/>
                <w:sz w:val="11"/>
                <w:szCs w:val="11"/>
                <w:color w:val="auto"/>
              </w:rPr>
              <w:t>Total CRE</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233,506</w:t>
            </w:r>
          </w:p>
        </w:tc>
        <w:tc>
          <w:tcPr>
            <w:tcW w:w="80" w:type="dxa"/>
            <w:vAlign w:val="bottom"/>
            <w:tcBorders>
              <w:bottom w:val="single" w:sz="8" w:color="E0E7ED"/>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651,437</w:t>
            </w:r>
          </w:p>
        </w:tc>
        <w:tc>
          <w:tcPr>
            <w:tcW w:w="80" w:type="dxa"/>
            <w:vAlign w:val="bottom"/>
            <w:tcBorders>
              <w:bottom w:val="single" w:sz="8" w:color="E0E7ED"/>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716,307</w:t>
            </w:r>
          </w:p>
        </w:tc>
        <w:tc>
          <w:tcPr>
            <w:tcW w:w="80" w:type="dxa"/>
            <w:vAlign w:val="bottom"/>
            <w:tcBorders>
              <w:bottom w:val="single" w:sz="8" w:color="E0E7ED"/>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1,216,735</w:t>
            </w:r>
          </w:p>
        </w:tc>
        <w:tc>
          <w:tcPr>
            <w:tcW w:w="80" w:type="dxa"/>
            <w:vAlign w:val="bottom"/>
            <w:tcBorders>
              <w:bottom w:val="single" w:sz="8" w:color="E0E7ED"/>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978,705</w:t>
            </w:r>
          </w:p>
        </w:tc>
        <w:tc>
          <w:tcPr>
            <w:tcW w:w="80" w:type="dxa"/>
            <w:vAlign w:val="bottom"/>
            <w:tcBorders>
              <w:bottom w:val="single" w:sz="8" w:color="E0E7ED"/>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934,707</w:t>
            </w:r>
          </w:p>
        </w:tc>
        <w:tc>
          <w:tcPr>
            <w:tcW w:w="100" w:type="dxa"/>
            <w:vAlign w:val="bottom"/>
            <w:tcBorders>
              <w:bottom w:val="single" w:sz="8" w:color="E0E7ED"/>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842,369</w:t>
            </w:r>
          </w:p>
        </w:tc>
        <w:tc>
          <w:tcPr>
            <w:tcW w:w="100" w:type="dxa"/>
            <w:vAlign w:val="bottom"/>
            <w:tcBorders>
              <w:bottom w:val="single" w:sz="8" w:color="E0E7ED"/>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5,573,766</w:t>
            </w:r>
          </w:p>
        </w:tc>
      </w:tr>
      <w:tr>
        <w:trPr>
          <w:trHeight w:val="13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Gross charge-offs</w:t>
            </w:r>
          </w:p>
        </w:tc>
        <w:tc>
          <w:tcPr>
            <w:tcW w:w="2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253</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7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253</w:t>
            </w:r>
          </w:p>
        </w:tc>
      </w:tr>
      <w:tr>
        <w:trPr>
          <w:trHeight w:val="159"/>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Real estate construction</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Pass</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103,765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373,395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194,079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210,403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21,948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43,519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951,758</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Watch</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938</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29,257</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2,356</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13,368</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20,095</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7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2,002</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68,016</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18,402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617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7,097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26,116</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5,208</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62</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7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5,270</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Substandard non-accrual</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39"/>
        </w:trPr>
        <w:tc>
          <w:tcPr>
            <w:tcW w:w="2560" w:type="dxa"/>
            <w:vAlign w:val="bottom"/>
            <w:tcBorders>
              <w:top w:val="single" w:sz="8" w:color="E0E7ED"/>
            </w:tcBorders>
            <w:gridSpan w:val="2"/>
            <w:shd w:val="clear" w:color="auto" w:fill="E0E7ED"/>
          </w:tcPr>
          <w:p>
            <w:pPr>
              <w:ind w:left="20"/>
              <w:spacing w:after="0"/>
              <w:rPr>
                <w:sz w:val="20"/>
                <w:szCs w:val="20"/>
                <w:color w:val="auto"/>
              </w:rPr>
            </w:pPr>
            <w:r>
              <w:rPr>
                <w:rFonts w:ascii="Arial" w:cs="Arial" w:eastAsia="Arial" w:hAnsi="Arial"/>
                <w:sz w:val="11"/>
                <w:szCs w:val="11"/>
                <w:color w:val="auto"/>
              </w:rPr>
              <w:t>Total real estate construction</w:t>
            </w: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128,313</w:t>
            </w:r>
          </w:p>
        </w:tc>
        <w:tc>
          <w:tcPr>
            <w:tcW w:w="80" w:type="dxa"/>
            <w:vAlign w:val="bottom"/>
            <w:tcBorders>
              <w:top w:val="single" w:sz="8" w:color="E0E7ED"/>
            </w:tcBorders>
            <w:shd w:val="clear" w:color="auto" w:fill="E0E7ED"/>
          </w:tcPr>
          <w:p>
            <w:pPr>
              <w:spacing w:after="0"/>
              <w:rPr>
                <w:sz w:val="12"/>
                <w:szCs w:val="12"/>
                <w:color w:val="auto"/>
              </w:rPr>
            </w:pPr>
          </w:p>
        </w:tc>
        <w:tc>
          <w:tcPr>
            <w:tcW w:w="24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402,652</w:t>
            </w:r>
          </w:p>
        </w:tc>
        <w:tc>
          <w:tcPr>
            <w:tcW w:w="80" w:type="dxa"/>
            <w:vAlign w:val="bottom"/>
            <w:tcBorders>
              <w:top w:val="single" w:sz="8" w:color="E0E7ED"/>
            </w:tcBorders>
            <w:shd w:val="clear" w:color="auto" w:fill="E0E7ED"/>
          </w:tcPr>
          <w:p>
            <w:pPr>
              <w:spacing w:after="0"/>
              <w:rPr>
                <w:sz w:val="12"/>
                <w:szCs w:val="12"/>
                <w:color w:val="auto"/>
              </w:rPr>
            </w:pP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80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196,435</w:t>
            </w:r>
          </w:p>
        </w:tc>
        <w:tc>
          <w:tcPr>
            <w:tcW w:w="80" w:type="dxa"/>
            <w:vAlign w:val="bottom"/>
            <w:tcBorders>
              <w:top w:val="single" w:sz="8" w:color="E0E7ED"/>
            </w:tcBorders>
            <w:shd w:val="clear" w:color="auto" w:fill="E0E7ED"/>
          </w:tcPr>
          <w:p>
            <w:pPr>
              <w:spacing w:after="0"/>
              <w:rPr>
                <w:sz w:val="12"/>
                <w:szCs w:val="12"/>
                <w:color w:val="auto"/>
              </w:rPr>
            </w:pPr>
          </w:p>
        </w:tc>
        <w:tc>
          <w:tcPr>
            <w:tcW w:w="24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224,388</w:t>
            </w:r>
          </w:p>
        </w:tc>
        <w:tc>
          <w:tcPr>
            <w:tcW w:w="80" w:type="dxa"/>
            <w:vAlign w:val="bottom"/>
            <w:tcBorders>
              <w:top w:val="single" w:sz="8" w:color="E0E7ED"/>
            </w:tcBorders>
            <w:shd w:val="clear" w:color="auto" w:fill="E0E7ED"/>
          </w:tcPr>
          <w:p>
            <w:pPr>
              <w:spacing w:after="0"/>
              <w:rPr>
                <w:sz w:val="12"/>
                <w:szCs w:val="12"/>
                <w:color w:val="auto"/>
              </w:rPr>
            </w:pPr>
          </w:p>
        </w:tc>
        <w:tc>
          <w:tcPr>
            <w:tcW w:w="360" w:type="dxa"/>
            <w:vAlign w:val="bottom"/>
            <w:tcBorders>
              <w:top w:val="single" w:sz="8" w:color="auto"/>
              <w:bottom w:val="single" w:sz="8" w:color="auto"/>
            </w:tcBorders>
            <w:shd w:val="clear" w:color="auto" w:fill="E0E7ED"/>
          </w:tcPr>
          <w:p>
            <w:pPr>
              <w:spacing w:after="0"/>
              <w:rPr>
                <w:sz w:val="12"/>
                <w:szCs w:val="12"/>
                <w:color w:val="auto"/>
              </w:rPr>
            </w:pPr>
          </w:p>
        </w:tc>
        <w:tc>
          <w:tcPr>
            <w:tcW w:w="66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49,221</w:t>
            </w:r>
          </w:p>
        </w:tc>
        <w:tc>
          <w:tcPr>
            <w:tcW w:w="80" w:type="dxa"/>
            <w:vAlign w:val="bottom"/>
            <w:tcBorders>
              <w:top w:val="single" w:sz="8" w:color="E0E7ED"/>
            </w:tcBorders>
            <w:shd w:val="clear" w:color="auto" w:fill="E0E7ED"/>
          </w:tcPr>
          <w:p>
            <w:pPr>
              <w:spacing w:after="0"/>
              <w:rPr>
                <w:sz w:val="12"/>
                <w:szCs w:val="12"/>
                <w:color w:val="auto"/>
              </w:rPr>
            </w:pPr>
          </w:p>
        </w:tc>
        <w:tc>
          <w:tcPr>
            <w:tcW w:w="360" w:type="dxa"/>
            <w:vAlign w:val="bottom"/>
            <w:tcBorders>
              <w:top w:val="single" w:sz="8" w:color="auto"/>
              <w:bottom w:val="single" w:sz="8" w:color="auto"/>
            </w:tcBorders>
            <w:shd w:val="clear" w:color="auto" w:fill="E0E7ED"/>
          </w:tcPr>
          <w:p>
            <w:pPr>
              <w:spacing w:after="0"/>
              <w:rPr>
                <w:sz w:val="12"/>
                <w:szCs w:val="12"/>
                <w:color w:val="auto"/>
              </w:rPr>
            </w:pPr>
          </w:p>
        </w:tc>
        <w:tc>
          <w:tcPr>
            <w:tcW w:w="6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4,649</w:t>
            </w:r>
          </w:p>
        </w:tc>
        <w:tc>
          <w:tcPr>
            <w:tcW w:w="100" w:type="dxa"/>
            <w:vAlign w:val="bottom"/>
            <w:tcBorders>
              <w:top w:val="single" w:sz="8" w:color="E0E7ED"/>
            </w:tcBorders>
            <w:shd w:val="clear" w:color="auto" w:fill="E0E7ED"/>
          </w:tcPr>
          <w:p>
            <w:pPr>
              <w:spacing w:after="0"/>
              <w:rPr>
                <w:sz w:val="12"/>
                <w:szCs w:val="12"/>
                <w:color w:val="auto"/>
              </w:rPr>
            </w:pPr>
          </w:p>
        </w:tc>
        <w:tc>
          <w:tcPr>
            <w:tcW w:w="140" w:type="dxa"/>
            <w:vAlign w:val="bottom"/>
            <w:tcBorders>
              <w:top w:val="single" w:sz="8" w:color="auto"/>
              <w:bottom w:val="single" w:sz="8" w:color="auto"/>
            </w:tcBorders>
            <w:shd w:val="clear" w:color="auto" w:fill="E0E7ED"/>
          </w:tcPr>
          <w:p>
            <w:pPr>
              <w:spacing w:after="0"/>
              <w:rPr>
                <w:sz w:val="12"/>
                <w:szCs w:val="12"/>
                <w:color w:val="auto"/>
              </w:rPr>
            </w:pPr>
          </w:p>
        </w:tc>
        <w:tc>
          <w:tcPr>
            <w:tcW w:w="8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45,521</w:t>
            </w:r>
          </w:p>
        </w:tc>
        <w:tc>
          <w:tcPr>
            <w:tcW w:w="100" w:type="dxa"/>
            <w:vAlign w:val="bottom"/>
            <w:tcBorders>
              <w:top w:val="single" w:sz="8" w:color="E0E7ED"/>
            </w:tcBorders>
            <w:shd w:val="clear" w:color="auto" w:fill="E0E7ED"/>
          </w:tcPr>
          <w:p>
            <w:pPr>
              <w:spacing w:after="0"/>
              <w:rPr>
                <w:sz w:val="12"/>
                <w:szCs w:val="12"/>
                <w:color w:val="auto"/>
              </w:rPr>
            </w:pP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1,051,179</w:t>
            </w:r>
          </w:p>
        </w:tc>
      </w:tr>
      <w:tr>
        <w:trPr>
          <w:trHeight w:val="139"/>
        </w:trPr>
        <w:tc>
          <w:tcPr>
            <w:tcW w:w="2560" w:type="dxa"/>
            <w:vAlign w:val="bottom"/>
            <w:gridSpan w:val="2"/>
          </w:tcPr>
          <w:p>
            <w:pPr>
              <w:ind w:left="20"/>
              <w:spacing w:after="0"/>
              <w:rPr>
                <w:sz w:val="20"/>
                <w:szCs w:val="20"/>
                <w:color w:val="auto"/>
              </w:rPr>
            </w:pPr>
            <w:r>
              <w:rPr>
                <w:rFonts w:ascii="Arial" w:cs="Arial" w:eastAsia="Arial" w:hAnsi="Arial"/>
                <w:sz w:val="11"/>
                <w:szCs w:val="11"/>
                <w:color w:val="auto"/>
              </w:rPr>
              <w:t>Gross charge-offs</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24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7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7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8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7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60" w:type="dxa"/>
            <w:vAlign w:val="bottom"/>
            <w:shd w:val="clear" w:color="auto" w:fill="E0E7ED"/>
          </w:tcPr>
          <w:p>
            <w:pPr>
              <w:spacing w:after="0"/>
              <w:rPr>
                <w:sz w:val="13"/>
                <w:szCs w:val="13"/>
                <w:color w:val="auto"/>
              </w:rPr>
            </w:pPr>
          </w:p>
        </w:tc>
        <w:tc>
          <w:tcPr>
            <w:tcW w:w="6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60" w:type="dxa"/>
            <w:vAlign w:val="bottom"/>
            <w:shd w:val="clear" w:color="auto" w:fill="E0E7ED"/>
          </w:tcPr>
          <w:p>
            <w:pPr>
              <w:spacing w:after="0"/>
              <w:rPr>
                <w:sz w:val="13"/>
                <w:szCs w:val="13"/>
                <w:color w:val="auto"/>
              </w:rPr>
            </w:pPr>
          </w:p>
        </w:tc>
        <w:tc>
          <w:tcPr>
            <w:tcW w:w="6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140" w:type="dxa"/>
            <w:vAlign w:val="bottom"/>
            <w:shd w:val="clear" w:color="auto" w:fill="E0E7ED"/>
          </w:tcPr>
          <w:p>
            <w:pPr>
              <w:spacing w:after="0"/>
              <w:rPr>
                <w:sz w:val="13"/>
                <w:szCs w:val="13"/>
                <w:color w:val="auto"/>
              </w:rPr>
            </w:pPr>
          </w:p>
        </w:tc>
        <w:tc>
          <w:tcPr>
            <w:tcW w:w="8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800" w:type="dxa"/>
            <w:vAlign w:val="bottom"/>
            <w:shd w:val="clear" w:color="auto" w:fill="E0E7ED"/>
          </w:tcPr>
          <w:p>
            <w:pPr>
              <w:spacing w:after="0"/>
              <w:rPr>
                <w:sz w:val="13"/>
                <w:szCs w:val="13"/>
                <w:color w:val="auto"/>
              </w:rPr>
            </w:pPr>
          </w:p>
        </w:tc>
      </w:tr>
      <w:tr>
        <w:trPr>
          <w:trHeight w:val="149"/>
        </w:trPr>
        <w:tc>
          <w:tcPr>
            <w:tcW w:w="2560" w:type="dxa"/>
            <w:vAlign w:val="bottom"/>
            <w:gridSpan w:val="2"/>
          </w:tcPr>
          <w:p>
            <w:pPr>
              <w:ind w:left="20"/>
              <w:spacing w:after="0"/>
              <w:rPr>
                <w:sz w:val="20"/>
                <w:szCs w:val="20"/>
                <w:color w:val="auto"/>
              </w:rPr>
            </w:pPr>
            <w:r>
              <w:rPr>
                <w:rFonts w:ascii="Arial" w:cs="Arial" w:eastAsia="Arial" w:hAnsi="Arial"/>
                <w:sz w:val="11"/>
                <w:szCs w:val="11"/>
                <w:b w:val="1"/>
                <w:bCs w:val="1"/>
                <w:color w:val="auto"/>
              </w:rPr>
              <w:t>Retail real estate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36,881</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139,739</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326,479</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474,276</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411,108</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572,418</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259,724</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2,220,625</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Watch</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2,051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530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2,179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578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668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7,344</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Special Mention</w:t>
            </w:r>
          </w:p>
        </w:tc>
        <w:tc>
          <w:tcPr>
            <w:tcW w:w="2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144</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3,883</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950</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1,669</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7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6,696</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Substandard</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234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1,311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1,581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2,095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3,189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8,410</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Substandard non-accrual</w:t>
            </w:r>
          </w:p>
        </w:tc>
        <w:tc>
          <w:tcPr>
            <w:tcW w:w="2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497</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91</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1,280</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762</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2,630</w:t>
            </w:r>
          </w:p>
        </w:tc>
      </w:tr>
      <w:tr>
        <w:trPr>
          <w:trHeight w:val="139"/>
        </w:trPr>
        <w:tc>
          <w:tcPr>
            <w:tcW w:w="2560" w:type="dxa"/>
            <w:vAlign w:val="bottom"/>
            <w:tcBorders>
              <w:bottom w:val="single" w:sz="8" w:color="E0E7ED"/>
            </w:tcBorders>
            <w:gridSpan w:val="2"/>
          </w:tcPr>
          <w:p>
            <w:pPr>
              <w:ind w:left="20"/>
              <w:spacing w:after="0"/>
              <w:rPr>
                <w:sz w:val="20"/>
                <w:szCs w:val="20"/>
                <w:color w:val="auto"/>
              </w:rPr>
            </w:pPr>
            <w:r>
              <w:rPr>
                <w:rFonts w:ascii="Arial" w:cs="Arial" w:eastAsia="Arial" w:hAnsi="Arial"/>
                <w:sz w:val="11"/>
                <w:szCs w:val="11"/>
                <w:color w:val="auto"/>
              </w:rPr>
              <w:t>Total retail real estate</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36,929</w:t>
            </w:r>
          </w:p>
        </w:tc>
        <w:tc>
          <w:tcPr>
            <w:tcW w:w="80" w:type="dxa"/>
            <w:vAlign w:val="bottom"/>
            <w:tcBorders>
              <w:bottom w:val="single" w:sz="8" w:color="E0E7ED"/>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141,934</w:t>
            </w:r>
          </w:p>
        </w:tc>
        <w:tc>
          <w:tcPr>
            <w:tcW w:w="80" w:type="dxa"/>
            <w:vAlign w:val="bottom"/>
            <w:tcBorders>
              <w:bottom w:val="single" w:sz="8" w:color="E0E7ED"/>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331,126</w:t>
            </w:r>
          </w:p>
        </w:tc>
        <w:tc>
          <w:tcPr>
            <w:tcW w:w="80" w:type="dxa"/>
            <w:vAlign w:val="bottom"/>
            <w:tcBorders>
              <w:bottom w:val="single" w:sz="8" w:color="E0E7ED"/>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479,213</w:t>
            </w:r>
          </w:p>
        </w:tc>
        <w:tc>
          <w:tcPr>
            <w:tcW w:w="80" w:type="dxa"/>
            <w:vAlign w:val="bottom"/>
            <w:tcBorders>
              <w:bottom w:val="single" w:sz="8" w:color="E0E7ED"/>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415,027</w:t>
            </w:r>
          </w:p>
        </w:tc>
        <w:tc>
          <w:tcPr>
            <w:tcW w:w="80" w:type="dxa"/>
            <w:vAlign w:val="bottom"/>
            <w:tcBorders>
              <w:bottom w:val="single" w:sz="8" w:color="E0E7ED"/>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577,083</w:t>
            </w:r>
          </w:p>
        </w:tc>
        <w:tc>
          <w:tcPr>
            <w:tcW w:w="100" w:type="dxa"/>
            <w:vAlign w:val="bottom"/>
            <w:tcBorders>
              <w:bottom w:val="single" w:sz="8" w:color="E0E7ED"/>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264,393</w:t>
            </w:r>
          </w:p>
        </w:tc>
        <w:tc>
          <w:tcPr>
            <w:tcW w:w="100" w:type="dxa"/>
            <w:vAlign w:val="bottom"/>
            <w:tcBorders>
              <w:bottom w:val="single" w:sz="8" w:color="E0E7ED"/>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2,245,705</w:t>
            </w:r>
          </w:p>
        </w:tc>
      </w:tr>
      <w:tr>
        <w:trPr>
          <w:trHeight w:val="13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Gross charge-offs</w:t>
            </w:r>
          </w:p>
        </w:tc>
        <w:tc>
          <w:tcPr>
            <w:tcW w:w="2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74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7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Retail other</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Pass</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1,555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10,814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52,162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51,269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10,288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355,673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483,739</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Watch</w:t>
            </w:r>
          </w:p>
        </w:tc>
        <w:tc>
          <w:tcPr>
            <w:tcW w:w="2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74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7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150</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150</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20</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150</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181</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Substandard non-accrual</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83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94</w:t>
            </w:r>
          </w:p>
        </w:tc>
      </w:tr>
      <w:tr>
        <w:trPr>
          <w:trHeight w:val="139"/>
        </w:trPr>
        <w:tc>
          <w:tcPr>
            <w:tcW w:w="2560" w:type="dxa"/>
            <w:vAlign w:val="bottom"/>
            <w:tcBorders>
              <w:top w:val="single" w:sz="8" w:color="E0E7ED"/>
            </w:tcBorders>
            <w:gridSpan w:val="2"/>
            <w:shd w:val="clear" w:color="auto" w:fill="E0E7ED"/>
          </w:tcPr>
          <w:p>
            <w:pPr>
              <w:ind w:left="20"/>
              <w:spacing w:after="0"/>
              <w:rPr>
                <w:sz w:val="20"/>
                <w:szCs w:val="20"/>
                <w:color w:val="auto"/>
              </w:rPr>
            </w:pPr>
            <w:r>
              <w:rPr>
                <w:rFonts w:ascii="Arial" w:cs="Arial" w:eastAsia="Arial" w:hAnsi="Arial"/>
                <w:sz w:val="11"/>
                <w:szCs w:val="11"/>
                <w:color w:val="auto"/>
              </w:rPr>
              <w:t>Total retail other</w:t>
            </w: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1,555</w:t>
            </w:r>
          </w:p>
        </w:tc>
        <w:tc>
          <w:tcPr>
            <w:tcW w:w="80" w:type="dxa"/>
            <w:vAlign w:val="bottom"/>
            <w:tcBorders>
              <w:top w:val="single" w:sz="8" w:color="E0E7ED"/>
            </w:tcBorders>
            <w:shd w:val="clear" w:color="auto" w:fill="E0E7ED"/>
          </w:tcPr>
          <w:p>
            <w:pPr>
              <w:spacing w:after="0"/>
              <w:rPr>
                <w:sz w:val="12"/>
                <w:szCs w:val="12"/>
                <w:color w:val="auto"/>
              </w:rPr>
            </w:pPr>
          </w:p>
        </w:tc>
        <w:tc>
          <w:tcPr>
            <w:tcW w:w="24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10,814</w:t>
            </w:r>
          </w:p>
        </w:tc>
        <w:tc>
          <w:tcPr>
            <w:tcW w:w="80" w:type="dxa"/>
            <w:vAlign w:val="bottom"/>
            <w:tcBorders>
              <w:top w:val="single" w:sz="8" w:color="E0E7ED"/>
            </w:tcBorders>
            <w:shd w:val="clear" w:color="auto" w:fill="E0E7ED"/>
          </w:tcPr>
          <w:p>
            <w:pPr>
              <w:spacing w:after="0"/>
              <w:rPr>
                <w:sz w:val="12"/>
                <w:szCs w:val="12"/>
                <w:color w:val="auto"/>
              </w:rPr>
            </w:pP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80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52,162</w:t>
            </w:r>
          </w:p>
        </w:tc>
        <w:tc>
          <w:tcPr>
            <w:tcW w:w="80" w:type="dxa"/>
            <w:vAlign w:val="bottom"/>
            <w:tcBorders>
              <w:top w:val="single" w:sz="8" w:color="E0E7ED"/>
            </w:tcBorders>
            <w:shd w:val="clear" w:color="auto" w:fill="E0E7ED"/>
          </w:tcPr>
          <w:p>
            <w:pPr>
              <w:spacing w:after="0"/>
              <w:rPr>
                <w:sz w:val="12"/>
                <w:szCs w:val="12"/>
                <w:color w:val="auto"/>
              </w:rPr>
            </w:pPr>
          </w:p>
        </w:tc>
        <w:tc>
          <w:tcPr>
            <w:tcW w:w="24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51,352</w:t>
            </w:r>
          </w:p>
        </w:tc>
        <w:tc>
          <w:tcPr>
            <w:tcW w:w="80" w:type="dxa"/>
            <w:vAlign w:val="bottom"/>
            <w:tcBorders>
              <w:top w:val="single" w:sz="8" w:color="E0E7ED"/>
            </w:tcBorders>
            <w:shd w:val="clear" w:color="auto" w:fill="E0E7ED"/>
          </w:tcPr>
          <w:p>
            <w:pPr>
              <w:spacing w:after="0"/>
              <w:rPr>
                <w:sz w:val="12"/>
                <w:szCs w:val="12"/>
                <w:color w:val="auto"/>
              </w:rPr>
            </w:pPr>
          </w:p>
        </w:tc>
        <w:tc>
          <w:tcPr>
            <w:tcW w:w="360" w:type="dxa"/>
            <w:vAlign w:val="bottom"/>
            <w:tcBorders>
              <w:top w:val="single" w:sz="8" w:color="auto"/>
              <w:bottom w:val="single" w:sz="8" w:color="auto"/>
            </w:tcBorders>
            <w:shd w:val="clear" w:color="auto" w:fill="E0E7ED"/>
          </w:tcPr>
          <w:p>
            <w:pPr>
              <w:spacing w:after="0"/>
              <w:rPr>
                <w:sz w:val="12"/>
                <w:szCs w:val="12"/>
                <w:color w:val="auto"/>
              </w:rPr>
            </w:pPr>
          </w:p>
        </w:tc>
        <w:tc>
          <w:tcPr>
            <w:tcW w:w="66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10,308</w:t>
            </w:r>
          </w:p>
        </w:tc>
        <w:tc>
          <w:tcPr>
            <w:tcW w:w="80" w:type="dxa"/>
            <w:vAlign w:val="bottom"/>
            <w:tcBorders>
              <w:top w:val="single" w:sz="8" w:color="E0E7ED"/>
            </w:tcBorders>
            <w:shd w:val="clear" w:color="auto" w:fill="E0E7ED"/>
          </w:tcPr>
          <w:p>
            <w:pPr>
              <w:spacing w:after="0"/>
              <w:rPr>
                <w:sz w:val="12"/>
                <w:szCs w:val="12"/>
                <w:color w:val="auto"/>
              </w:rPr>
            </w:pPr>
          </w:p>
        </w:tc>
        <w:tc>
          <w:tcPr>
            <w:tcW w:w="360" w:type="dxa"/>
            <w:vAlign w:val="bottom"/>
            <w:tcBorders>
              <w:top w:val="single" w:sz="8" w:color="auto"/>
              <w:bottom w:val="single" w:sz="8" w:color="auto"/>
            </w:tcBorders>
            <w:shd w:val="clear" w:color="auto" w:fill="E0E7ED"/>
          </w:tcPr>
          <w:p>
            <w:pPr>
              <w:spacing w:after="0"/>
              <w:rPr>
                <w:sz w:val="12"/>
                <w:szCs w:val="12"/>
                <w:color w:val="auto"/>
              </w:rPr>
            </w:pPr>
          </w:p>
        </w:tc>
        <w:tc>
          <w:tcPr>
            <w:tcW w:w="6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2,000</w:t>
            </w:r>
          </w:p>
        </w:tc>
        <w:tc>
          <w:tcPr>
            <w:tcW w:w="100" w:type="dxa"/>
            <w:vAlign w:val="bottom"/>
            <w:tcBorders>
              <w:top w:val="single" w:sz="8" w:color="E0E7ED"/>
            </w:tcBorders>
            <w:shd w:val="clear" w:color="auto" w:fill="E0E7ED"/>
          </w:tcPr>
          <w:p>
            <w:pPr>
              <w:spacing w:after="0"/>
              <w:rPr>
                <w:sz w:val="12"/>
                <w:szCs w:val="12"/>
                <w:color w:val="auto"/>
              </w:rPr>
            </w:pPr>
          </w:p>
        </w:tc>
        <w:tc>
          <w:tcPr>
            <w:tcW w:w="140" w:type="dxa"/>
            <w:vAlign w:val="bottom"/>
            <w:tcBorders>
              <w:top w:val="single" w:sz="8" w:color="auto"/>
              <w:bottom w:val="single" w:sz="8" w:color="auto"/>
            </w:tcBorders>
            <w:shd w:val="clear" w:color="auto" w:fill="E0E7ED"/>
          </w:tcPr>
          <w:p>
            <w:pPr>
              <w:spacing w:after="0"/>
              <w:rPr>
                <w:sz w:val="12"/>
                <w:szCs w:val="12"/>
                <w:color w:val="auto"/>
              </w:rPr>
            </w:pPr>
          </w:p>
        </w:tc>
        <w:tc>
          <w:tcPr>
            <w:tcW w:w="8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355,973</w:t>
            </w:r>
          </w:p>
        </w:tc>
        <w:tc>
          <w:tcPr>
            <w:tcW w:w="100" w:type="dxa"/>
            <w:vAlign w:val="bottom"/>
            <w:tcBorders>
              <w:top w:val="single" w:sz="8" w:color="E0E7ED"/>
            </w:tcBorders>
            <w:shd w:val="clear" w:color="auto" w:fill="E0E7ED"/>
          </w:tcPr>
          <w:p>
            <w:pPr>
              <w:spacing w:after="0"/>
              <w:rPr>
                <w:sz w:val="12"/>
                <w:szCs w:val="12"/>
                <w:color w:val="auto"/>
              </w:rPr>
            </w:pP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484,164</w:t>
            </w:r>
          </w:p>
        </w:tc>
      </w:tr>
      <w:tr>
        <w:trPr>
          <w:trHeight w:val="139"/>
        </w:trPr>
        <w:tc>
          <w:tcPr>
            <w:tcW w:w="2560" w:type="dxa"/>
            <w:vAlign w:val="bottom"/>
            <w:gridSpan w:val="2"/>
          </w:tcPr>
          <w:p>
            <w:pPr>
              <w:ind w:left="20"/>
              <w:spacing w:after="0"/>
              <w:rPr>
                <w:sz w:val="20"/>
                <w:szCs w:val="20"/>
                <w:color w:val="auto"/>
              </w:rPr>
            </w:pPr>
            <w:r>
              <w:rPr>
                <w:rFonts w:ascii="Arial" w:cs="Arial" w:eastAsia="Arial" w:hAnsi="Arial"/>
                <w:sz w:val="11"/>
                <w:szCs w:val="11"/>
                <w:color w:val="auto"/>
              </w:rPr>
              <w:t>Gross charge-offs</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105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361</w:t>
            </w:r>
          </w:p>
        </w:tc>
      </w:tr>
      <w:tr>
        <w:trPr>
          <w:trHeight w:val="159"/>
        </w:trPr>
        <w:tc>
          <w:tcPr>
            <w:tcW w:w="24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7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7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8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7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60" w:type="dxa"/>
            <w:vAlign w:val="bottom"/>
            <w:shd w:val="clear" w:color="auto" w:fill="E0E7ED"/>
          </w:tcPr>
          <w:p>
            <w:pPr>
              <w:spacing w:after="0"/>
              <w:rPr>
                <w:sz w:val="13"/>
                <w:szCs w:val="13"/>
                <w:color w:val="auto"/>
              </w:rPr>
            </w:pPr>
          </w:p>
        </w:tc>
        <w:tc>
          <w:tcPr>
            <w:tcW w:w="6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60" w:type="dxa"/>
            <w:vAlign w:val="bottom"/>
            <w:shd w:val="clear" w:color="auto" w:fill="E0E7ED"/>
          </w:tcPr>
          <w:p>
            <w:pPr>
              <w:spacing w:after="0"/>
              <w:rPr>
                <w:sz w:val="13"/>
                <w:szCs w:val="13"/>
                <w:color w:val="auto"/>
              </w:rPr>
            </w:pPr>
          </w:p>
        </w:tc>
        <w:tc>
          <w:tcPr>
            <w:tcW w:w="6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140" w:type="dxa"/>
            <w:vAlign w:val="bottom"/>
            <w:shd w:val="clear" w:color="auto" w:fill="E0E7ED"/>
          </w:tcPr>
          <w:p>
            <w:pPr>
              <w:spacing w:after="0"/>
              <w:rPr>
                <w:sz w:val="13"/>
                <w:szCs w:val="13"/>
                <w:color w:val="auto"/>
              </w:rPr>
            </w:pPr>
          </w:p>
        </w:tc>
        <w:tc>
          <w:tcPr>
            <w:tcW w:w="8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800" w:type="dxa"/>
            <w:vAlign w:val="bottom"/>
            <w:shd w:val="clear" w:color="auto" w:fill="E0E7ED"/>
          </w:tcPr>
          <w:p>
            <w:pPr>
              <w:spacing w:after="0"/>
              <w:rPr>
                <w:sz w:val="13"/>
                <w:szCs w:val="13"/>
                <w:color w:val="auto"/>
              </w:rPr>
            </w:pPr>
          </w:p>
        </w:tc>
      </w:tr>
      <w:tr>
        <w:trPr>
          <w:trHeight w:val="149"/>
        </w:trPr>
        <w:tc>
          <w:tcPr>
            <w:tcW w:w="25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portfolio loans</w:t>
            </w: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672,037</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1,897,540</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1,721,734</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2,360,670</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1,704,314</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1,758,030</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3,754,032</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13,868,357</w:t>
            </w:r>
          </w:p>
        </w:tc>
      </w:tr>
      <w:tr>
        <w:trPr>
          <w:trHeight w:val="20"/>
        </w:trPr>
        <w:tc>
          <w:tcPr>
            <w:tcW w:w="246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1"/>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Total gross charge-offs</w:t>
            </w:r>
          </w:p>
        </w:tc>
        <w:tc>
          <w:tcPr>
            <w:tcW w:w="220" w:type="dxa"/>
            <w:vAlign w:val="bottom"/>
            <w:shd w:val="clear" w:color="auto" w:fill="E0E7ED"/>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147</w:t>
            </w:r>
          </w:p>
        </w:tc>
        <w:tc>
          <w:tcPr>
            <w:tcW w:w="80" w:type="dxa"/>
            <w:vAlign w:val="bottom"/>
            <w:shd w:val="clear" w:color="auto" w:fill="E0E7ED"/>
          </w:tcPr>
          <w:p>
            <w:pPr>
              <w:spacing w:after="0"/>
              <w:rPr>
                <w:sz w:val="13"/>
                <w:szCs w:val="13"/>
                <w:color w:val="auto"/>
              </w:rPr>
            </w:pPr>
          </w:p>
        </w:tc>
        <w:tc>
          <w:tcPr>
            <w:tcW w:w="220" w:type="dxa"/>
            <w:vAlign w:val="bottom"/>
            <w:shd w:val="clear" w:color="auto" w:fill="E0E7ED"/>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2,326</w:t>
            </w: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149</w:t>
            </w:r>
          </w:p>
        </w:tc>
        <w:tc>
          <w:tcPr>
            <w:tcW w:w="80" w:type="dxa"/>
            <w:vAlign w:val="bottom"/>
            <w:shd w:val="clear" w:color="auto" w:fill="E0E7ED"/>
          </w:tcPr>
          <w:p>
            <w:pPr>
              <w:spacing w:after="0"/>
              <w:rPr>
                <w:sz w:val="13"/>
                <w:szCs w:val="13"/>
                <w:color w:val="auto"/>
              </w:rPr>
            </w:pPr>
          </w:p>
        </w:tc>
        <w:tc>
          <w:tcPr>
            <w:tcW w:w="360" w:type="dxa"/>
            <w:vAlign w:val="bottom"/>
            <w:shd w:val="clear" w:color="auto" w:fill="E0E7ED"/>
          </w:tcPr>
          <w:p>
            <w:pPr>
              <w:jc w:val="right"/>
              <w:ind w:right="2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13,844</w:t>
            </w:r>
          </w:p>
        </w:tc>
        <w:tc>
          <w:tcPr>
            <w:tcW w:w="80" w:type="dxa"/>
            <w:vAlign w:val="bottom"/>
            <w:shd w:val="clear" w:color="auto" w:fill="E0E7ED"/>
          </w:tcPr>
          <w:p>
            <w:pPr>
              <w:spacing w:after="0"/>
              <w:rPr>
                <w:sz w:val="13"/>
                <w:szCs w:val="13"/>
                <w:color w:val="auto"/>
              </w:rPr>
            </w:pPr>
          </w:p>
        </w:tc>
        <w:tc>
          <w:tcPr>
            <w:tcW w:w="360" w:type="dxa"/>
            <w:vAlign w:val="bottom"/>
            <w:shd w:val="clear" w:color="auto" w:fill="E0E7ED"/>
          </w:tcPr>
          <w:p>
            <w:pPr>
              <w:jc w:val="right"/>
              <w:ind w:right="2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11,248</w:t>
            </w:r>
          </w:p>
        </w:tc>
        <w:tc>
          <w:tcPr>
            <w:tcW w:w="100" w:type="dxa"/>
            <w:vAlign w:val="bottom"/>
            <w:shd w:val="clear" w:color="auto" w:fill="E0E7ED"/>
          </w:tcPr>
          <w:p>
            <w:pPr>
              <w:spacing w:after="0"/>
              <w:rPr>
                <w:sz w:val="13"/>
                <w:szCs w:val="13"/>
                <w:color w:val="auto"/>
              </w:rPr>
            </w:pPr>
          </w:p>
        </w:tc>
        <w:tc>
          <w:tcPr>
            <w:tcW w:w="140" w:type="dxa"/>
            <w:vAlign w:val="bottom"/>
            <w:shd w:val="clear" w:color="auto" w:fill="E0E7ED"/>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4,121</w:t>
            </w:r>
          </w:p>
        </w:tc>
        <w:tc>
          <w:tcPr>
            <w:tcW w:w="100" w:type="dxa"/>
            <w:vAlign w:val="bottom"/>
            <w:shd w:val="clear" w:color="auto" w:fill="E0E7ED"/>
          </w:tcPr>
          <w:p>
            <w:pPr>
              <w:spacing w:after="0"/>
              <w:rPr>
                <w:sz w:val="13"/>
                <w:szCs w:val="13"/>
                <w:color w:val="auto"/>
              </w:rPr>
            </w:pPr>
          </w:p>
        </w:tc>
        <w:tc>
          <w:tcPr>
            <w:tcW w:w="220" w:type="dxa"/>
            <w:vAlign w:val="bottom"/>
            <w:shd w:val="clear" w:color="auto" w:fill="E0E7ED"/>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31,835</w:t>
            </w:r>
          </w:p>
        </w:tc>
      </w:tr>
      <w:tr>
        <w:trPr>
          <w:trHeight w:val="20"/>
        </w:trPr>
        <w:tc>
          <w:tcPr>
            <w:tcW w:w="246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9000"/>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gridSpan w:val="9"/>
          </w:tcPr>
          <w:p>
            <w:pPr>
              <w:jc w:val="right"/>
              <w:ind w:right="43"/>
              <w:spacing w:after="0"/>
              <w:rPr>
                <w:sz w:val="20"/>
                <w:szCs w:val="20"/>
                <w:color w:val="auto"/>
              </w:rPr>
            </w:pPr>
            <w:r>
              <w:rPr>
                <w:rFonts w:ascii="Arial" w:cs="Arial" w:eastAsia="Arial" w:hAnsi="Arial"/>
                <w:sz w:val="11"/>
                <w:szCs w:val="11"/>
                <w:b w:val="1"/>
                <w:bCs w:val="1"/>
                <w:color w:val="auto"/>
              </w:rPr>
              <w:t>As of and For The Year Ended December 31, 2024</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39"/>
        </w:trPr>
        <w:tc>
          <w:tcPr>
            <w:tcW w:w="2560" w:type="dxa"/>
            <w:vAlign w:val="bottom"/>
            <w:gridSpan w:val="2"/>
          </w:tcPr>
          <w:p>
            <w:pPr>
              <w:ind w:left="20"/>
              <w:spacing w:after="0"/>
              <w:rPr>
                <w:sz w:val="20"/>
                <w:szCs w:val="20"/>
                <w:color w:val="auto"/>
              </w:rPr>
            </w:pPr>
            <w:r>
              <w:rPr>
                <w:rFonts w:ascii="Arial" w:cs="Arial" w:eastAsia="Arial" w:hAnsi="Arial"/>
                <w:sz w:val="11"/>
                <w:szCs w:val="11"/>
                <w:b w:val="1"/>
                <w:bCs w:val="1"/>
                <w:color w:val="auto"/>
              </w:rPr>
              <w:t>Risk Grade Ratings</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gridSpan w:val="9"/>
          </w:tcPr>
          <w:p>
            <w:pPr>
              <w:jc w:val="right"/>
              <w:spacing w:after="0"/>
              <w:rPr>
                <w:sz w:val="20"/>
                <w:szCs w:val="20"/>
                <w:color w:val="auto"/>
              </w:rPr>
            </w:pPr>
            <w:r>
              <w:rPr>
                <w:rFonts w:ascii="Arial" w:cs="Arial" w:eastAsia="Arial" w:hAnsi="Arial"/>
                <w:sz w:val="11"/>
                <w:szCs w:val="11"/>
                <w:b w:val="1"/>
                <w:bCs w:val="1"/>
                <w:color w:val="auto"/>
              </w:rPr>
              <w:t>Term Loans Amortized Cost Basis by Origination Year</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9"/>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0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E0E7ED"/>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E0E7ED"/>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Prior</w:t>
            </w:r>
          </w:p>
        </w:tc>
        <w:tc>
          <w:tcPr>
            <w:tcW w:w="100" w:type="dxa"/>
            <w:vAlign w:val="bottom"/>
            <w:tcBorders>
              <w:bottom w:val="single" w:sz="8" w:color="E0E7ED"/>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Loans</w:t>
            </w:r>
          </w:p>
        </w:tc>
        <w:tc>
          <w:tcPr>
            <w:tcW w:w="10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Total</w:t>
            </w:r>
          </w:p>
        </w:tc>
      </w:tr>
      <w:tr>
        <w:trPr>
          <w:trHeight w:val="13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C&amp;I and other commercial</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Pass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320,831</w:t>
            </w:r>
          </w:p>
        </w:tc>
        <w:tc>
          <w:tcPr>
            <w:tcW w:w="8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147,909</w:t>
            </w:r>
          </w:p>
        </w:tc>
        <w:tc>
          <w:tcPr>
            <w:tcW w:w="80" w:type="dxa"/>
            <w:vAlign w:val="bottom"/>
          </w:tcPr>
          <w:p>
            <w:pPr>
              <w:spacing w:after="0"/>
              <w:rPr>
                <w:sz w:val="12"/>
                <w:szCs w:val="12"/>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163,870</w:t>
            </w:r>
          </w:p>
        </w:tc>
        <w:tc>
          <w:tcPr>
            <w:tcW w:w="8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125,053</w:t>
            </w:r>
          </w:p>
        </w:tc>
        <w:tc>
          <w:tcPr>
            <w:tcW w:w="80" w:type="dxa"/>
            <w:vAlign w:val="bottom"/>
          </w:tcPr>
          <w:p>
            <w:pPr>
              <w:spacing w:after="0"/>
              <w:rPr>
                <w:sz w:val="12"/>
                <w:szCs w:val="12"/>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74,146</w:t>
            </w:r>
          </w:p>
        </w:tc>
        <w:tc>
          <w:tcPr>
            <w:tcW w:w="80" w:type="dxa"/>
            <w:vAlign w:val="bottom"/>
          </w:tcPr>
          <w:p>
            <w:pPr>
              <w:spacing w:after="0"/>
              <w:rPr>
                <w:sz w:val="12"/>
                <w:szCs w:val="12"/>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117,234</w:t>
            </w:r>
          </w:p>
        </w:tc>
        <w:tc>
          <w:tcPr>
            <w:tcW w:w="1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596,295</w:t>
            </w:r>
          </w:p>
        </w:tc>
        <w:tc>
          <w:tcPr>
            <w:tcW w:w="100" w:type="dxa"/>
            <w:vAlign w:val="bottom"/>
          </w:tcPr>
          <w:p>
            <w:pPr>
              <w:spacing w:after="0"/>
              <w:rPr>
                <w:sz w:val="12"/>
                <w:szCs w:val="12"/>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1,545,338</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Watch</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38,734</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49,394</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44,709</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16,393</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2,175</w:t>
            </w: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20,964</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109,055</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281,424</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1,718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2,293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5,658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2,634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106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21,203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36,152</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15,186</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6,545</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788</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591</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320</w:t>
            </w: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2,424</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11,895</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37,749</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Substandard non-accrual</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141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464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2,288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3,852</w:t>
            </w:r>
          </w:p>
        </w:tc>
      </w:tr>
      <w:tr>
        <w:trPr>
          <w:trHeight w:val="139"/>
        </w:trPr>
        <w:tc>
          <w:tcPr>
            <w:tcW w:w="2560" w:type="dxa"/>
            <w:vAlign w:val="bottom"/>
            <w:tcBorders>
              <w:top w:val="single" w:sz="8" w:color="E0E7ED"/>
            </w:tcBorders>
            <w:gridSpan w:val="2"/>
            <w:shd w:val="clear" w:color="auto" w:fill="E0E7ED"/>
          </w:tcPr>
          <w:p>
            <w:pPr>
              <w:ind w:left="20"/>
              <w:spacing w:after="0"/>
              <w:rPr>
                <w:sz w:val="20"/>
                <w:szCs w:val="20"/>
                <w:color w:val="auto"/>
              </w:rPr>
            </w:pPr>
            <w:r>
              <w:rPr>
                <w:rFonts w:ascii="Arial" w:cs="Arial" w:eastAsia="Arial" w:hAnsi="Arial"/>
                <w:sz w:val="11"/>
                <w:szCs w:val="11"/>
                <w:color w:val="auto"/>
              </w:rPr>
              <w:t>Total C&amp;I and other commercial</w:t>
            </w: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376,534</w:t>
            </w:r>
          </w:p>
        </w:tc>
        <w:tc>
          <w:tcPr>
            <w:tcW w:w="80" w:type="dxa"/>
            <w:vAlign w:val="bottom"/>
            <w:tcBorders>
              <w:top w:val="single" w:sz="8" w:color="E0E7ED"/>
            </w:tcBorders>
            <w:shd w:val="clear" w:color="auto" w:fill="E0E7ED"/>
          </w:tcPr>
          <w:p>
            <w:pPr>
              <w:spacing w:after="0"/>
              <w:rPr>
                <w:sz w:val="12"/>
                <w:szCs w:val="12"/>
                <w:color w:val="auto"/>
              </w:rPr>
            </w:pPr>
          </w:p>
        </w:tc>
        <w:tc>
          <w:tcPr>
            <w:tcW w:w="24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206,282</w:t>
            </w:r>
          </w:p>
        </w:tc>
        <w:tc>
          <w:tcPr>
            <w:tcW w:w="80" w:type="dxa"/>
            <w:vAlign w:val="bottom"/>
            <w:tcBorders>
              <w:top w:val="single" w:sz="8" w:color="E0E7ED"/>
            </w:tcBorders>
            <w:shd w:val="clear" w:color="auto" w:fill="E0E7ED"/>
          </w:tcPr>
          <w:p>
            <w:pPr>
              <w:spacing w:after="0"/>
              <w:rPr>
                <w:sz w:val="12"/>
                <w:szCs w:val="12"/>
                <w:color w:val="auto"/>
              </w:rPr>
            </w:pP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80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215,489</w:t>
            </w:r>
          </w:p>
        </w:tc>
        <w:tc>
          <w:tcPr>
            <w:tcW w:w="80" w:type="dxa"/>
            <w:vAlign w:val="bottom"/>
            <w:tcBorders>
              <w:top w:val="single" w:sz="8" w:color="E0E7ED"/>
            </w:tcBorders>
            <w:shd w:val="clear" w:color="auto" w:fill="E0E7ED"/>
          </w:tcPr>
          <w:p>
            <w:pPr>
              <w:spacing w:after="0"/>
              <w:rPr>
                <w:sz w:val="12"/>
                <w:szCs w:val="12"/>
                <w:color w:val="auto"/>
              </w:rPr>
            </w:pPr>
          </w:p>
        </w:tc>
        <w:tc>
          <w:tcPr>
            <w:tcW w:w="24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144,671</w:t>
            </w:r>
          </w:p>
        </w:tc>
        <w:tc>
          <w:tcPr>
            <w:tcW w:w="80" w:type="dxa"/>
            <w:vAlign w:val="bottom"/>
            <w:tcBorders>
              <w:top w:val="single" w:sz="8" w:color="E0E7ED"/>
            </w:tcBorders>
            <w:shd w:val="clear" w:color="auto" w:fill="E0E7ED"/>
          </w:tcPr>
          <w:p>
            <w:pPr>
              <w:spacing w:after="0"/>
              <w:rPr>
                <w:sz w:val="12"/>
                <w:szCs w:val="12"/>
                <w:color w:val="auto"/>
              </w:rPr>
            </w:pPr>
          </w:p>
        </w:tc>
        <w:tc>
          <w:tcPr>
            <w:tcW w:w="360" w:type="dxa"/>
            <w:vAlign w:val="bottom"/>
            <w:tcBorders>
              <w:top w:val="single" w:sz="8" w:color="auto"/>
              <w:bottom w:val="single" w:sz="8" w:color="auto"/>
            </w:tcBorders>
            <w:shd w:val="clear" w:color="auto" w:fill="E0E7ED"/>
          </w:tcPr>
          <w:p>
            <w:pPr>
              <w:spacing w:after="0"/>
              <w:rPr>
                <w:sz w:val="12"/>
                <w:szCs w:val="12"/>
                <w:color w:val="auto"/>
              </w:rPr>
            </w:pPr>
          </w:p>
        </w:tc>
        <w:tc>
          <w:tcPr>
            <w:tcW w:w="66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76,789</w:t>
            </w:r>
          </w:p>
        </w:tc>
        <w:tc>
          <w:tcPr>
            <w:tcW w:w="80" w:type="dxa"/>
            <w:vAlign w:val="bottom"/>
            <w:tcBorders>
              <w:top w:val="single" w:sz="8" w:color="E0E7ED"/>
            </w:tcBorders>
            <w:shd w:val="clear" w:color="auto" w:fill="E0E7ED"/>
          </w:tcPr>
          <w:p>
            <w:pPr>
              <w:spacing w:after="0"/>
              <w:rPr>
                <w:sz w:val="12"/>
                <w:szCs w:val="12"/>
                <w:color w:val="auto"/>
              </w:rPr>
            </w:pPr>
          </w:p>
        </w:tc>
        <w:tc>
          <w:tcPr>
            <w:tcW w:w="300" w:type="dxa"/>
            <w:vAlign w:val="bottom"/>
            <w:tcBorders>
              <w:top w:val="single" w:sz="8" w:color="auto"/>
              <w:bottom w:val="single" w:sz="8" w:color="auto"/>
            </w:tcBorders>
            <w:shd w:val="clear" w:color="auto" w:fill="E0E7ED"/>
          </w:tcPr>
          <w:p>
            <w:pPr>
              <w:spacing w:after="0"/>
              <w:rPr>
                <w:sz w:val="12"/>
                <w:szCs w:val="12"/>
                <w:color w:val="auto"/>
              </w:rPr>
            </w:pPr>
          </w:p>
        </w:tc>
        <w:tc>
          <w:tcPr>
            <w:tcW w:w="7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144,014</w:t>
            </w:r>
          </w:p>
        </w:tc>
        <w:tc>
          <w:tcPr>
            <w:tcW w:w="100" w:type="dxa"/>
            <w:vAlign w:val="bottom"/>
            <w:tcBorders>
              <w:top w:val="single" w:sz="8" w:color="E0E7ED"/>
            </w:tcBorders>
            <w:shd w:val="clear" w:color="auto" w:fill="E0E7ED"/>
          </w:tcPr>
          <w:p>
            <w:pPr>
              <w:spacing w:after="0"/>
              <w:rPr>
                <w:sz w:val="12"/>
                <w:szCs w:val="12"/>
                <w:color w:val="auto"/>
              </w:rPr>
            </w:pPr>
          </w:p>
        </w:tc>
        <w:tc>
          <w:tcPr>
            <w:tcW w:w="140" w:type="dxa"/>
            <w:vAlign w:val="bottom"/>
            <w:tcBorders>
              <w:top w:val="single" w:sz="8" w:color="auto"/>
              <w:bottom w:val="single" w:sz="8" w:color="auto"/>
            </w:tcBorders>
            <w:shd w:val="clear" w:color="auto" w:fill="E0E7ED"/>
          </w:tcPr>
          <w:p>
            <w:pPr>
              <w:spacing w:after="0"/>
              <w:rPr>
                <w:sz w:val="12"/>
                <w:szCs w:val="12"/>
                <w:color w:val="auto"/>
              </w:rPr>
            </w:pPr>
          </w:p>
        </w:tc>
        <w:tc>
          <w:tcPr>
            <w:tcW w:w="8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740,736</w:t>
            </w:r>
          </w:p>
        </w:tc>
        <w:tc>
          <w:tcPr>
            <w:tcW w:w="100" w:type="dxa"/>
            <w:vAlign w:val="bottom"/>
            <w:tcBorders>
              <w:top w:val="single" w:sz="8" w:color="E0E7ED"/>
            </w:tcBorders>
            <w:shd w:val="clear" w:color="auto" w:fill="E0E7ED"/>
          </w:tcPr>
          <w:p>
            <w:pPr>
              <w:spacing w:after="0"/>
              <w:rPr>
                <w:sz w:val="12"/>
                <w:szCs w:val="12"/>
                <w:color w:val="auto"/>
              </w:rPr>
            </w:pP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1,904,515</w:t>
            </w:r>
          </w:p>
        </w:tc>
      </w:tr>
      <w:tr>
        <w:trPr>
          <w:trHeight w:val="139"/>
        </w:trPr>
        <w:tc>
          <w:tcPr>
            <w:tcW w:w="2560" w:type="dxa"/>
            <w:vAlign w:val="bottom"/>
            <w:gridSpan w:val="2"/>
          </w:tcPr>
          <w:p>
            <w:pPr>
              <w:ind w:left="20"/>
              <w:spacing w:after="0"/>
              <w:rPr>
                <w:sz w:val="20"/>
                <w:szCs w:val="20"/>
                <w:color w:val="auto"/>
              </w:rPr>
            </w:pPr>
            <w:r>
              <w:rPr>
                <w:rFonts w:ascii="Arial" w:cs="Arial" w:eastAsia="Arial" w:hAnsi="Arial"/>
                <w:sz w:val="11"/>
                <w:szCs w:val="11"/>
                <w:color w:val="auto"/>
              </w:rPr>
              <w:t>Gross charge-offs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14,980</w:t>
            </w:r>
          </w:p>
        </w:tc>
        <w:tc>
          <w:tcPr>
            <w:tcW w:w="80" w:type="dxa"/>
            <w:vAlign w:val="bottom"/>
          </w:tcPr>
          <w:p>
            <w:pPr>
              <w:spacing w:after="0"/>
              <w:rPr>
                <w:sz w:val="12"/>
                <w:szCs w:val="12"/>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148</w:t>
            </w:r>
          </w:p>
        </w:tc>
        <w:tc>
          <w:tcPr>
            <w:tcW w:w="8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2"/>
                <w:szCs w:val="12"/>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303</w:t>
            </w:r>
          </w:p>
        </w:tc>
        <w:tc>
          <w:tcPr>
            <w:tcW w:w="1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15,453</w:t>
            </w:r>
          </w:p>
        </w:tc>
      </w:tr>
      <w:tr>
        <w:trPr>
          <w:trHeight w:val="149"/>
        </w:trPr>
        <w:tc>
          <w:tcPr>
            <w:tcW w:w="24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r>
      <w:tr>
        <w:trPr>
          <w:trHeight w:val="149"/>
        </w:trPr>
        <w:tc>
          <w:tcPr>
            <w:tcW w:w="2560" w:type="dxa"/>
            <w:vAlign w:val="bottom"/>
            <w:gridSpan w:val="2"/>
          </w:tcPr>
          <w:p>
            <w:pPr>
              <w:ind w:left="20"/>
              <w:spacing w:after="0"/>
              <w:rPr>
                <w:sz w:val="20"/>
                <w:szCs w:val="20"/>
                <w:color w:val="auto"/>
              </w:rPr>
            </w:pPr>
            <w:r>
              <w:rPr>
                <w:rFonts w:ascii="Arial" w:cs="Arial" w:eastAsia="Arial" w:hAnsi="Arial"/>
                <w:sz w:val="11"/>
                <w:szCs w:val="11"/>
                <w:b w:val="1"/>
                <w:bCs w:val="1"/>
                <w:color w:val="auto"/>
              </w:rPr>
              <w:t>CRE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291,503</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354,591</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755,266</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645,994</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356,867</w:t>
            </w: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314,340</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25,457</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2,744,018</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Watch</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115,078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132,900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60,611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62,408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28,320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38,733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895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438,945</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Special Mention</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39,252</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643</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8,020</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1,395</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4,165</w:t>
            </w: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1,517</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49</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55,041</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Substandard</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6,983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355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4,628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95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4,346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16,507</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Substandard non-accrual</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15,000</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39</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14</w:t>
            </w: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82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15,053</w:t>
            </w:r>
          </w:p>
        </w:tc>
      </w:tr>
      <w:tr>
        <w:trPr>
          <w:trHeight w:val="139"/>
        </w:trPr>
        <w:tc>
          <w:tcPr>
            <w:tcW w:w="2560" w:type="dxa"/>
            <w:vAlign w:val="bottom"/>
            <w:tcBorders>
              <w:bottom w:val="single" w:sz="8" w:color="E0E7ED"/>
            </w:tcBorders>
            <w:gridSpan w:val="2"/>
          </w:tcPr>
          <w:p>
            <w:pPr>
              <w:ind w:left="20"/>
              <w:spacing w:after="0"/>
              <w:rPr>
                <w:sz w:val="20"/>
                <w:szCs w:val="20"/>
                <w:color w:val="auto"/>
              </w:rPr>
            </w:pPr>
            <w:r>
              <w:rPr>
                <w:rFonts w:ascii="Arial" w:cs="Arial" w:eastAsia="Arial" w:hAnsi="Arial"/>
                <w:sz w:val="11"/>
                <w:szCs w:val="11"/>
                <w:color w:val="auto"/>
              </w:rPr>
              <w:t>Total CRE</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467,816</w:t>
            </w:r>
          </w:p>
        </w:tc>
        <w:tc>
          <w:tcPr>
            <w:tcW w:w="80" w:type="dxa"/>
            <w:vAlign w:val="bottom"/>
            <w:tcBorders>
              <w:bottom w:val="single" w:sz="8" w:color="E0E7ED"/>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488,528</w:t>
            </w:r>
          </w:p>
        </w:tc>
        <w:tc>
          <w:tcPr>
            <w:tcW w:w="80" w:type="dxa"/>
            <w:vAlign w:val="bottom"/>
            <w:tcBorders>
              <w:bottom w:val="single" w:sz="8" w:color="E0E7ED"/>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828,525</w:t>
            </w:r>
          </w:p>
        </w:tc>
        <w:tc>
          <w:tcPr>
            <w:tcW w:w="80" w:type="dxa"/>
            <w:vAlign w:val="bottom"/>
            <w:tcBorders>
              <w:bottom w:val="single" w:sz="8" w:color="E0E7ED"/>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709,847</w:t>
            </w:r>
          </w:p>
        </w:tc>
        <w:tc>
          <w:tcPr>
            <w:tcW w:w="80" w:type="dxa"/>
            <w:vAlign w:val="bottom"/>
            <w:tcBorders>
              <w:bottom w:val="single" w:sz="8" w:color="E0E7ED"/>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389,461</w:t>
            </w:r>
          </w:p>
        </w:tc>
        <w:tc>
          <w:tcPr>
            <w:tcW w:w="80" w:type="dxa"/>
            <w:vAlign w:val="bottom"/>
            <w:tcBorders>
              <w:bottom w:val="single" w:sz="8" w:color="E0E7ED"/>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358,936</w:t>
            </w:r>
          </w:p>
        </w:tc>
        <w:tc>
          <w:tcPr>
            <w:tcW w:w="100" w:type="dxa"/>
            <w:vAlign w:val="bottom"/>
            <w:tcBorders>
              <w:bottom w:val="single" w:sz="8" w:color="E0E7ED"/>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26,451</w:t>
            </w:r>
          </w:p>
        </w:tc>
        <w:tc>
          <w:tcPr>
            <w:tcW w:w="100" w:type="dxa"/>
            <w:vAlign w:val="bottom"/>
            <w:tcBorders>
              <w:bottom w:val="single" w:sz="8" w:color="E0E7ED"/>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3,269,564</w:t>
            </w:r>
          </w:p>
        </w:tc>
      </w:tr>
      <w:tr>
        <w:trPr>
          <w:trHeight w:val="13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Gross charge-offs</w:t>
            </w:r>
          </w:p>
        </w:tc>
        <w:tc>
          <w:tcPr>
            <w:tcW w:w="2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2,999</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74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315</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3,314</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Real estate construction</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Pass</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159,825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134,450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12,205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24,781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2,213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11,310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345,908</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Watch</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20,170</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6,455</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208</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74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E0E7ED"/>
          </w:tcPr>
          <w:p>
            <w:pPr>
              <w:spacing w:after="0"/>
              <w:rPr>
                <w:sz w:val="12"/>
                <w:szCs w:val="12"/>
                <w:color w:val="auto"/>
              </w:rPr>
            </w:pPr>
          </w:p>
        </w:tc>
        <w:tc>
          <w:tcPr>
            <w:tcW w:w="82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26,833</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221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221</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5,224</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74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E0E7ED"/>
          </w:tcPr>
          <w:p>
            <w:pPr>
              <w:spacing w:after="0"/>
              <w:rPr>
                <w:sz w:val="12"/>
                <w:szCs w:val="12"/>
                <w:color w:val="auto"/>
              </w:rPr>
            </w:pPr>
          </w:p>
        </w:tc>
        <w:tc>
          <w:tcPr>
            <w:tcW w:w="82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E0E7ED"/>
          </w:tcPr>
          <w:p>
            <w:pPr>
              <w:spacing w:after="0"/>
              <w:rPr>
                <w:sz w:val="12"/>
                <w:szCs w:val="12"/>
                <w:color w:val="auto"/>
              </w:rPr>
            </w:pP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5,224</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Substandard non-accrual</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39"/>
        </w:trPr>
        <w:tc>
          <w:tcPr>
            <w:tcW w:w="2560" w:type="dxa"/>
            <w:vAlign w:val="bottom"/>
            <w:tcBorders>
              <w:top w:val="single" w:sz="8" w:color="E0E7ED"/>
            </w:tcBorders>
            <w:gridSpan w:val="2"/>
            <w:shd w:val="clear" w:color="auto" w:fill="E0E7ED"/>
          </w:tcPr>
          <w:p>
            <w:pPr>
              <w:ind w:left="20"/>
              <w:spacing w:after="0"/>
              <w:rPr>
                <w:sz w:val="20"/>
                <w:szCs w:val="20"/>
                <w:color w:val="auto"/>
              </w:rPr>
            </w:pPr>
            <w:r>
              <w:rPr>
                <w:rFonts w:ascii="Arial" w:cs="Arial" w:eastAsia="Arial" w:hAnsi="Arial"/>
                <w:sz w:val="11"/>
                <w:szCs w:val="11"/>
                <w:color w:val="auto"/>
              </w:rPr>
              <w:t>Total real estate construction</w:t>
            </w: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185,219</w:t>
            </w:r>
          </w:p>
        </w:tc>
        <w:tc>
          <w:tcPr>
            <w:tcW w:w="80" w:type="dxa"/>
            <w:vAlign w:val="bottom"/>
            <w:tcBorders>
              <w:top w:val="single" w:sz="8" w:color="E0E7ED"/>
            </w:tcBorders>
            <w:shd w:val="clear" w:color="auto" w:fill="E0E7ED"/>
          </w:tcPr>
          <w:p>
            <w:pPr>
              <w:spacing w:after="0"/>
              <w:rPr>
                <w:sz w:val="12"/>
                <w:szCs w:val="12"/>
                <w:color w:val="auto"/>
              </w:rPr>
            </w:pPr>
          </w:p>
        </w:tc>
        <w:tc>
          <w:tcPr>
            <w:tcW w:w="24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140,905</w:t>
            </w:r>
          </w:p>
        </w:tc>
        <w:tc>
          <w:tcPr>
            <w:tcW w:w="80" w:type="dxa"/>
            <w:vAlign w:val="bottom"/>
            <w:tcBorders>
              <w:top w:val="single" w:sz="8" w:color="E0E7ED"/>
            </w:tcBorders>
            <w:shd w:val="clear" w:color="auto" w:fill="E0E7ED"/>
          </w:tcPr>
          <w:p>
            <w:pPr>
              <w:spacing w:after="0"/>
              <w:rPr>
                <w:sz w:val="12"/>
                <w:szCs w:val="12"/>
                <w:color w:val="auto"/>
              </w:rPr>
            </w:pP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80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12,205</w:t>
            </w:r>
          </w:p>
        </w:tc>
        <w:tc>
          <w:tcPr>
            <w:tcW w:w="80" w:type="dxa"/>
            <w:vAlign w:val="bottom"/>
            <w:tcBorders>
              <w:top w:val="single" w:sz="8" w:color="E0E7ED"/>
            </w:tcBorders>
            <w:shd w:val="clear" w:color="auto" w:fill="E0E7ED"/>
          </w:tcPr>
          <w:p>
            <w:pPr>
              <w:spacing w:after="0"/>
              <w:rPr>
                <w:sz w:val="12"/>
                <w:szCs w:val="12"/>
                <w:color w:val="auto"/>
              </w:rPr>
            </w:pPr>
          </w:p>
        </w:tc>
        <w:tc>
          <w:tcPr>
            <w:tcW w:w="240" w:type="dxa"/>
            <w:vAlign w:val="bottom"/>
            <w:tcBorders>
              <w:top w:val="single" w:sz="8" w:color="auto"/>
              <w:bottom w:val="single" w:sz="8" w:color="auto"/>
            </w:tcBorders>
            <w:shd w:val="clear" w:color="auto" w:fill="E0E7ED"/>
          </w:tcPr>
          <w:p>
            <w:pPr>
              <w:spacing w:after="0"/>
              <w:rPr>
                <w:sz w:val="12"/>
                <w:szCs w:val="12"/>
                <w:color w:val="auto"/>
              </w:rPr>
            </w:pPr>
          </w:p>
        </w:tc>
        <w:tc>
          <w:tcPr>
            <w:tcW w:w="78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25,233</w:t>
            </w:r>
          </w:p>
        </w:tc>
        <w:tc>
          <w:tcPr>
            <w:tcW w:w="80" w:type="dxa"/>
            <w:vAlign w:val="bottom"/>
            <w:tcBorders>
              <w:top w:val="single" w:sz="8" w:color="E0E7ED"/>
            </w:tcBorders>
            <w:shd w:val="clear" w:color="auto" w:fill="E0E7ED"/>
          </w:tcPr>
          <w:p>
            <w:pPr>
              <w:spacing w:after="0"/>
              <w:rPr>
                <w:sz w:val="12"/>
                <w:szCs w:val="12"/>
                <w:color w:val="auto"/>
              </w:rPr>
            </w:pPr>
          </w:p>
        </w:tc>
        <w:tc>
          <w:tcPr>
            <w:tcW w:w="360" w:type="dxa"/>
            <w:vAlign w:val="bottom"/>
            <w:tcBorders>
              <w:top w:val="single" w:sz="8" w:color="auto"/>
              <w:bottom w:val="single" w:sz="8" w:color="auto"/>
            </w:tcBorders>
            <w:shd w:val="clear" w:color="auto" w:fill="E0E7ED"/>
          </w:tcPr>
          <w:p>
            <w:pPr>
              <w:spacing w:after="0"/>
              <w:rPr>
                <w:sz w:val="12"/>
                <w:szCs w:val="12"/>
                <w:color w:val="auto"/>
              </w:rPr>
            </w:pPr>
          </w:p>
        </w:tc>
        <w:tc>
          <w:tcPr>
            <w:tcW w:w="660" w:type="dxa"/>
            <w:vAlign w:val="bottom"/>
            <w:tcBorders>
              <w:top w:val="single" w:sz="8" w:color="auto"/>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2,213</w:t>
            </w:r>
          </w:p>
        </w:tc>
        <w:tc>
          <w:tcPr>
            <w:tcW w:w="80" w:type="dxa"/>
            <w:vAlign w:val="bottom"/>
            <w:tcBorders>
              <w:top w:val="single" w:sz="8" w:color="E0E7ED"/>
            </w:tcBorders>
            <w:shd w:val="clear" w:color="auto" w:fill="E0E7ED"/>
          </w:tcPr>
          <w:p>
            <w:pPr>
              <w:spacing w:after="0"/>
              <w:rPr>
                <w:sz w:val="12"/>
                <w:szCs w:val="12"/>
                <w:color w:val="auto"/>
              </w:rPr>
            </w:pPr>
          </w:p>
        </w:tc>
        <w:tc>
          <w:tcPr>
            <w:tcW w:w="300" w:type="dxa"/>
            <w:vAlign w:val="bottom"/>
            <w:tcBorders>
              <w:top w:val="single" w:sz="8" w:color="auto"/>
              <w:bottom w:val="single" w:sz="8" w:color="auto"/>
            </w:tcBorders>
            <w:shd w:val="clear" w:color="auto" w:fill="E0E7ED"/>
          </w:tcPr>
          <w:p>
            <w:pPr>
              <w:spacing w:after="0"/>
              <w:rPr>
                <w:sz w:val="12"/>
                <w:szCs w:val="12"/>
                <w:color w:val="auto"/>
              </w:rPr>
            </w:pPr>
          </w:p>
        </w:tc>
        <w:tc>
          <w:tcPr>
            <w:tcW w:w="7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1,124</w:t>
            </w:r>
          </w:p>
        </w:tc>
        <w:tc>
          <w:tcPr>
            <w:tcW w:w="100" w:type="dxa"/>
            <w:vAlign w:val="bottom"/>
            <w:tcBorders>
              <w:top w:val="single" w:sz="8" w:color="E0E7ED"/>
            </w:tcBorders>
            <w:shd w:val="clear" w:color="auto" w:fill="E0E7ED"/>
          </w:tcPr>
          <w:p>
            <w:pPr>
              <w:spacing w:after="0"/>
              <w:rPr>
                <w:sz w:val="12"/>
                <w:szCs w:val="12"/>
                <w:color w:val="auto"/>
              </w:rPr>
            </w:pPr>
          </w:p>
        </w:tc>
        <w:tc>
          <w:tcPr>
            <w:tcW w:w="140" w:type="dxa"/>
            <w:vAlign w:val="bottom"/>
            <w:tcBorders>
              <w:top w:val="single" w:sz="8" w:color="auto"/>
              <w:bottom w:val="single" w:sz="8" w:color="auto"/>
            </w:tcBorders>
            <w:shd w:val="clear" w:color="auto" w:fill="E0E7ED"/>
          </w:tcPr>
          <w:p>
            <w:pPr>
              <w:spacing w:after="0"/>
              <w:rPr>
                <w:sz w:val="12"/>
                <w:szCs w:val="12"/>
                <w:color w:val="auto"/>
              </w:rPr>
            </w:pPr>
          </w:p>
        </w:tc>
        <w:tc>
          <w:tcPr>
            <w:tcW w:w="8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11,310</w:t>
            </w:r>
          </w:p>
        </w:tc>
        <w:tc>
          <w:tcPr>
            <w:tcW w:w="100" w:type="dxa"/>
            <w:vAlign w:val="bottom"/>
            <w:tcBorders>
              <w:top w:val="single" w:sz="8" w:color="E0E7ED"/>
            </w:tcBorders>
            <w:shd w:val="clear" w:color="auto" w:fill="E0E7ED"/>
          </w:tcPr>
          <w:p>
            <w:pPr>
              <w:spacing w:after="0"/>
              <w:rPr>
                <w:sz w:val="12"/>
                <w:szCs w:val="12"/>
                <w:color w:val="auto"/>
              </w:rPr>
            </w:pPr>
          </w:p>
        </w:tc>
        <w:tc>
          <w:tcPr>
            <w:tcW w:w="220" w:type="dxa"/>
            <w:vAlign w:val="bottom"/>
            <w:tcBorders>
              <w:top w:val="single" w:sz="8" w:color="auto"/>
              <w:bottom w:val="single" w:sz="8" w:color="auto"/>
            </w:tcBorders>
            <w:shd w:val="clear" w:color="auto" w:fill="E0E7ED"/>
          </w:tcPr>
          <w:p>
            <w:pPr>
              <w:spacing w:after="0"/>
              <w:rPr>
                <w:sz w:val="12"/>
                <w:szCs w:val="12"/>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378,209</w:t>
            </w:r>
          </w:p>
        </w:tc>
      </w:tr>
      <w:tr>
        <w:trPr>
          <w:trHeight w:val="139"/>
        </w:trPr>
        <w:tc>
          <w:tcPr>
            <w:tcW w:w="2560" w:type="dxa"/>
            <w:vAlign w:val="bottom"/>
            <w:gridSpan w:val="2"/>
          </w:tcPr>
          <w:p>
            <w:pPr>
              <w:ind w:left="20"/>
              <w:spacing w:after="0"/>
              <w:rPr>
                <w:sz w:val="20"/>
                <w:szCs w:val="20"/>
                <w:color w:val="auto"/>
              </w:rPr>
            </w:pPr>
            <w:r>
              <w:rPr>
                <w:rFonts w:ascii="Arial" w:cs="Arial" w:eastAsia="Arial" w:hAnsi="Arial"/>
                <w:sz w:val="11"/>
                <w:szCs w:val="11"/>
                <w:color w:val="auto"/>
              </w:rPr>
              <w:t>Gross charge-offs</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24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r>
      <w:tr>
        <w:trPr>
          <w:trHeight w:val="149"/>
        </w:trPr>
        <w:tc>
          <w:tcPr>
            <w:tcW w:w="2560" w:type="dxa"/>
            <w:vAlign w:val="bottom"/>
            <w:gridSpan w:val="2"/>
          </w:tcPr>
          <w:p>
            <w:pPr>
              <w:ind w:left="20"/>
              <w:spacing w:after="0"/>
              <w:rPr>
                <w:sz w:val="20"/>
                <w:szCs w:val="20"/>
                <w:color w:val="auto"/>
              </w:rPr>
            </w:pPr>
            <w:r>
              <w:rPr>
                <w:rFonts w:ascii="Arial" w:cs="Arial" w:eastAsia="Arial" w:hAnsi="Arial"/>
                <w:sz w:val="11"/>
                <w:szCs w:val="11"/>
                <w:b w:val="1"/>
                <w:bCs w:val="1"/>
                <w:color w:val="auto"/>
              </w:rPr>
              <w:t>Retail real estate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101,582</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237,306</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366,820</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354,380</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147,236</w:t>
            </w: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267,431</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205,885</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1,680,640</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Watch</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1,255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550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2,733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3,377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872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9,408</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Special Mention</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151</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344</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74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372</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882</w:t>
            </w: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Substandard</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243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1,018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503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776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2,543</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Substandard non-accrual</w:t>
            </w:r>
          </w:p>
        </w:tc>
        <w:tc>
          <w:tcPr>
            <w:tcW w:w="2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344</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91</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152</w:t>
            </w: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1,526</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1"/>
                <w:szCs w:val="11"/>
                <w:color w:val="auto"/>
              </w:rPr>
              <w:t>871</w:t>
            </w: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2,984</w:t>
            </w:r>
          </w:p>
        </w:tc>
      </w:tr>
      <w:tr>
        <w:trPr>
          <w:trHeight w:val="139"/>
        </w:trPr>
        <w:tc>
          <w:tcPr>
            <w:tcW w:w="2560" w:type="dxa"/>
            <w:vAlign w:val="bottom"/>
            <w:tcBorders>
              <w:bottom w:val="single" w:sz="8" w:color="E0E7ED"/>
            </w:tcBorders>
            <w:gridSpan w:val="2"/>
          </w:tcPr>
          <w:p>
            <w:pPr>
              <w:ind w:left="20"/>
              <w:spacing w:after="0"/>
              <w:rPr>
                <w:sz w:val="20"/>
                <w:szCs w:val="20"/>
                <w:color w:val="auto"/>
              </w:rPr>
            </w:pPr>
            <w:r>
              <w:rPr>
                <w:rFonts w:ascii="Arial" w:cs="Arial" w:eastAsia="Arial" w:hAnsi="Arial"/>
                <w:sz w:val="11"/>
                <w:szCs w:val="11"/>
                <w:color w:val="auto"/>
              </w:rPr>
              <w:t>Total retail real estate</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102,988</w:t>
            </w:r>
          </w:p>
        </w:tc>
        <w:tc>
          <w:tcPr>
            <w:tcW w:w="80" w:type="dxa"/>
            <w:vAlign w:val="bottom"/>
            <w:tcBorders>
              <w:bottom w:val="single" w:sz="8" w:color="E0E7ED"/>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238,099</w:t>
            </w:r>
          </w:p>
        </w:tc>
        <w:tc>
          <w:tcPr>
            <w:tcW w:w="80" w:type="dxa"/>
            <w:vAlign w:val="bottom"/>
            <w:tcBorders>
              <w:bottom w:val="single" w:sz="8" w:color="E0E7ED"/>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371,259</w:t>
            </w:r>
          </w:p>
        </w:tc>
        <w:tc>
          <w:tcPr>
            <w:tcW w:w="80" w:type="dxa"/>
            <w:vAlign w:val="bottom"/>
            <w:tcBorders>
              <w:bottom w:val="single" w:sz="8" w:color="E0E7ED"/>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358,351</w:t>
            </w:r>
          </w:p>
        </w:tc>
        <w:tc>
          <w:tcPr>
            <w:tcW w:w="80" w:type="dxa"/>
            <w:vAlign w:val="bottom"/>
            <w:tcBorders>
              <w:bottom w:val="single" w:sz="8" w:color="E0E7ED"/>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148,260</w:t>
            </w:r>
          </w:p>
        </w:tc>
        <w:tc>
          <w:tcPr>
            <w:tcW w:w="80" w:type="dxa"/>
            <w:vAlign w:val="bottom"/>
            <w:tcBorders>
              <w:bottom w:val="single" w:sz="8" w:color="E0E7ED"/>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270,229</w:t>
            </w:r>
          </w:p>
        </w:tc>
        <w:tc>
          <w:tcPr>
            <w:tcW w:w="100" w:type="dxa"/>
            <w:vAlign w:val="bottom"/>
            <w:tcBorders>
              <w:bottom w:val="single" w:sz="8" w:color="E0E7ED"/>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207,271</w:t>
            </w:r>
          </w:p>
        </w:tc>
        <w:tc>
          <w:tcPr>
            <w:tcW w:w="100" w:type="dxa"/>
            <w:vAlign w:val="bottom"/>
            <w:tcBorders>
              <w:bottom w:val="single" w:sz="8" w:color="E0E7ED"/>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1,696,457</w:t>
            </w:r>
          </w:p>
        </w:tc>
      </w:tr>
      <w:tr>
        <w:trPr>
          <w:trHeight w:val="13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Gross charge-offs</w:t>
            </w:r>
          </w:p>
        </w:tc>
        <w:tc>
          <w:tcPr>
            <w:tcW w:w="2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E0E7ED"/>
          </w:tcPr>
          <w:p>
            <w:pPr>
              <w:spacing w:after="0"/>
              <w:rPr>
                <w:sz w:val="12"/>
                <w:szCs w:val="12"/>
                <w:color w:val="auto"/>
              </w:rPr>
            </w:pPr>
          </w:p>
        </w:tc>
        <w:tc>
          <w:tcPr>
            <w:tcW w:w="74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168</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168</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Retail other</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r>
      <w:tr>
        <w:trPr>
          <w:trHeight w:val="149"/>
        </w:trPr>
        <w:tc>
          <w:tcPr>
            <w:tcW w:w="2560" w:type="dxa"/>
            <w:vAlign w:val="bottom"/>
            <w:gridSpan w:val="2"/>
          </w:tcPr>
          <w:p>
            <w:pPr>
              <w:ind w:left="140"/>
              <w:spacing w:after="0"/>
              <w:rPr>
                <w:sz w:val="20"/>
                <w:szCs w:val="20"/>
                <w:color w:val="auto"/>
              </w:rPr>
            </w:pPr>
            <w:r>
              <w:rPr>
                <w:rFonts w:ascii="Arial" w:cs="Arial" w:eastAsia="Arial" w:hAnsi="Arial"/>
                <w:sz w:val="11"/>
                <w:szCs w:val="11"/>
                <w:color w:val="auto"/>
              </w:rPr>
              <w:t>Pass</w:t>
            </w:r>
          </w:p>
        </w:tc>
        <w:tc>
          <w:tcPr>
            <w:tcW w:w="22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4,996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55,665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57,944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12,207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2,304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314,461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448,166</w:t>
            </w:r>
          </w:p>
        </w:tc>
      </w:tr>
      <w:tr>
        <w:trPr>
          <w:trHeight w:val="149"/>
        </w:trPr>
        <w:tc>
          <w:tcPr>
            <w:tcW w:w="2560" w:type="dxa"/>
            <w:vAlign w:val="bottom"/>
            <w:gridSpan w:val="2"/>
            <w:shd w:val="clear" w:color="auto" w:fill="E0E7ED"/>
          </w:tcPr>
          <w:p>
            <w:pPr>
              <w:ind w:left="140"/>
              <w:spacing w:after="0"/>
              <w:rPr>
                <w:sz w:val="20"/>
                <w:szCs w:val="20"/>
                <w:color w:val="auto"/>
              </w:rPr>
            </w:pPr>
            <w:r>
              <w:rPr>
                <w:rFonts w:ascii="Arial" w:cs="Arial" w:eastAsia="Arial" w:hAnsi="Arial"/>
                <w:sz w:val="11"/>
                <w:szCs w:val="11"/>
                <w:color w:val="auto"/>
              </w:rPr>
              <w:t>Substandard non-accrual</w:t>
            </w:r>
          </w:p>
        </w:tc>
        <w:tc>
          <w:tcPr>
            <w:tcW w:w="2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94</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67</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74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176</w:t>
            </w:r>
          </w:p>
        </w:tc>
      </w:tr>
      <w:tr>
        <w:trPr>
          <w:trHeight w:val="139"/>
        </w:trPr>
        <w:tc>
          <w:tcPr>
            <w:tcW w:w="2560" w:type="dxa"/>
            <w:vAlign w:val="bottom"/>
            <w:tcBorders>
              <w:bottom w:val="single" w:sz="8" w:color="E0E7ED"/>
            </w:tcBorders>
            <w:gridSpan w:val="2"/>
          </w:tcPr>
          <w:p>
            <w:pPr>
              <w:ind w:left="20"/>
              <w:spacing w:after="0"/>
              <w:rPr>
                <w:sz w:val="20"/>
                <w:szCs w:val="20"/>
                <w:color w:val="auto"/>
              </w:rPr>
            </w:pPr>
            <w:r>
              <w:rPr>
                <w:rFonts w:ascii="Arial" w:cs="Arial" w:eastAsia="Arial" w:hAnsi="Arial"/>
                <w:sz w:val="11"/>
                <w:szCs w:val="11"/>
                <w:color w:val="auto"/>
              </w:rPr>
              <w:t>Total retail other</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4,996</w:t>
            </w:r>
          </w:p>
        </w:tc>
        <w:tc>
          <w:tcPr>
            <w:tcW w:w="80" w:type="dxa"/>
            <w:vAlign w:val="bottom"/>
            <w:tcBorders>
              <w:bottom w:val="single" w:sz="8" w:color="E0E7ED"/>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55,759</w:t>
            </w:r>
          </w:p>
        </w:tc>
        <w:tc>
          <w:tcPr>
            <w:tcW w:w="80" w:type="dxa"/>
            <w:vAlign w:val="bottom"/>
            <w:tcBorders>
              <w:bottom w:val="single" w:sz="8" w:color="E0E7ED"/>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58,011</w:t>
            </w:r>
          </w:p>
        </w:tc>
        <w:tc>
          <w:tcPr>
            <w:tcW w:w="80" w:type="dxa"/>
            <w:vAlign w:val="bottom"/>
            <w:tcBorders>
              <w:bottom w:val="single" w:sz="8" w:color="E0E7ED"/>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12,211</w:t>
            </w:r>
          </w:p>
        </w:tc>
        <w:tc>
          <w:tcPr>
            <w:tcW w:w="80" w:type="dxa"/>
            <w:vAlign w:val="bottom"/>
            <w:tcBorders>
              <w:bottom w:val="single" w:sz="8" w:color="E0E7ED"/>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2,304</w:t>
            </w:r>
          </w:p>
        </w:tc>
        <w:tc>
          <w:tcPr>
            <w:tcW w:w="80" w:type="dxa"/>
            <w:vAlign w:val="bottom"/>
            <w:tcBorders>
              <w:bottom w:val="single" w:sz="8" w:color="E0E7ED"/>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600</w:t>
            </w:r>
          </w:p>
        </w:tc>
        <w:tc>
          <w:tcPr>
            <w:tcW w:w="100" w:type="dxa"/>
            <w:vAlign w:val="bottom"/>
            <w:tcBorders>
              <w:bottom w:val="single" w:sz="8" w:color="E0E7ED"/>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314,461</w:t>
            </w:r>
          </w:p>
        </w:tc>
        <w:tc>
          <w:tcPr>
            <w:tcW w:w="100" w:type="dxa"/>
            <w:vAlign w:val="bottom"/>
            <w:tcBorders>
              <w:bottom w:val="single" w:sz="8" w:color="E0E7ED"/>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448,342</w:t>
            </w:r>
          </w:p>
        </w:tc>
      </w:tr>
      <w:tr>
        <w:trPr>
          <w:trHeight w:val="139"/>
        </w:trPr>
        <w:tc>
          <w:tcPr>
            <w:tcW w:w="2560" w:type="dxa"/>
            <w:vAlign w:val="bottom"/>
            <w:gridSpan w:val="2"/>
            <w:shd w:val="clear" w:color="auto" w:fill="E0E7ED"/>
          </w:tcPr>
          <w:p>
            <w:pPr>
              <w:ind w:left="20"/>
              <w:spacing w:after="0"/>
              <w:rPr>
                <w:sz w:val="20"/>
                <w:szCs w:val="20"/>
                <w:color w:val="auto"/>
              </w:rPr>
            </w:pPr>
            <w:r>
              <w:rPr>
                <w:rFonts w:ascii="Arial" w:cs="Arial" w:eastAsia="Arial" w:hAnsi="Arial"/>
                <w:sz w:val="11"/>
                <w:szCs w:val="11"/>
                <w:color w:val="auto"/>
              </w:rPr>
              <w:t>Gross charge-offs</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31</w:t>
            </w: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106</w:t>
            </w: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78</w:t>
            </w:r>
          </w:p>
        </w:tc>
        <w:tc>
          <w:tcPr>
            <w:tcW w:w="80" w:type="dxa"/>
            <w:vAlign w:val="bottom"/>
            <w:shd w:val="clear" w:color="auto" w:fill="E0E7ED"/>
          </w:tcPr>
          <w:p>
            <w:pPr>
              <w:spacing w:after="0"/>
              <w:rPr>
                <w:sz w:val="12"/>
                <w:szCs w:val="12"/>
                <w:color w:val="auto"/>
              </w:rPr>
            </w:pPr>
          </w:p>
        </w:tc>
        <w:tc>
          <w:tcPr>
            <w:tcW w:w="360" w:type="dxa"/>
            <w:vAlign w:val="bottom"/>
            <w:shd w:val="clear" w:color="auto" w:fill="E0E7ED"/>
          </w:tcPr>
          <w:p>
            <w:pPr>
              <w:spacing w:after="0"/>
              <w:rPr>
                <w:sz w:val="12"/>
                <w:szCs w:val="12"/>
                <w:color w:val="auto"/>
              </w:rPr>
            </w:pPr>
          </w:p>
        </w:tc>
        <w:tc>
          <w:tcPr>
            <w:tcW w:w="66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403</w:t>
            </w:r>
          </w:p>
        </w:tc>
        <w:tc>
          <w:tcPr>
            <w:tcW w:w="10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E0E7ED"/>
          </w:tcPr>
          <w:p>
            <w:pPr>
              <w:spacing w:after="0"/>
              <w:rPr>
                <w:sz w:val="12"/>
                <w:szCs w:val="12"/>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631</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4"/>
        </w:trPr>
        <w:tc>
          <w:tcPr>
            <w:tcW w:w="25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1"/>
                <w:szCs w:val="11"/>
                <w:b w:val="1"/>
                <w:bCs w:val="1"/>
                <w:color w:val="auto"/>
              </w:rPr>
              <w:t>Total portfolio loans</w:t>
            </w:r>
          </w:p>
        </w:tc>
        <w:tc>
          <w:tcPr>
            <w:tcW w:w="220" w:type="dxa"/>
            <w:vAlign w:val="bottom"/>
            <w:tcBorders>
              <w:bottom w:val="single" w:sz="8" w:color="auto"/>
            </w:tcBorders>
            <w:shd w:val="clear" w:color="auto" w:fill="E0E7ED"/>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1,137,553</w:t>
            </w:r>
          </w:p>
        </w:tc>
        <w:tc>
          <w:tcPr>
            <w:tcW w:w="80" w:type="dxa"/>
            <w:vAlign w:val="bottom"/>
            <w:tcBorders>
              <w:bottom w:val="single" w:sz="8" w:color="E0E7ED"/>
            </w:tcBorders>
            <w:shd w:val="clear" w:color="auto" w:fill="E0E7ED"/>
          </w:tcPr>
          <w:p>
            <w:pPr>
              <w:spacing w:after="0"/>
              <w:rPr>
                <w:sz w:val="14"/>
                <w:szCs w:val="14"/>
                <w:color w:val="auto"/>
              </w:rPr>
            </w:pPr>
          </w:p>
        </w:tc>
        <w:tc>
          <w:tcPr>
            <w:tcW w:w="240" w:type="dxa"/>
            <w:vAlign w:val="bottom"/>
            <w:tcBorders>
              <w:bottom w:val="single" w:sz="8" w:color="auto"/>
            </w:tcBorders>
            <w:shd w:val="clear" w:color="auto" w:fill="E0E7ED"/>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1,129,573</w:t>
            </w:r>
          </w:p>
        </w:tc>
        <w:tc>
          <w:tcPr>
            <w:tcW w:w="80" w:type="dxa"/>
            <w:vAlign w:val="bottom"/>
            <w:tcBorders>
              <w:bottom w:val="single" w:sz="8" w:color="E0E7ED"/>
            </w:tcBorders>
            <w:shd w:val="clear" w:color="auto" w:fill="E0E7ED"/>
          </w:tcPr>
          <w:p>
            <w:pPr>
              <w:spacing w:after="0"/>
              <w:rPr>
                <w:sz w:val="14"/>
                <w:szCs w:val="14"/>
                <w:color w:val="auto"/>
              </w:rPr>
            </w:pPr>
          </w:p>
        </w:tc>
        <w:tc>
          <w:tcPr>
            <w:tcW w:w="220" w:type="dxa"/>
            <w:vAlign w:val="bottom"/>
            <w:tcBorders>
              <w:bottom w:val="single" w:sz="8" w:color="auto"/>
            </w:tcBorders>
            <w:shd w:val="clear" w:color="auto" w:fill="E0E7ED"/>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1,485,489</w:t>
            </w:r>
          </w:p>
        </w:tc>
        <w:tc>
          <w:tcPr>
            <w:tcW w:w="80" w:type="dxa"/>
            <w:vAlign w:val="bottom"/>
            <w:tcBorders>
              <w:bottom w:val="single" w:sz="8" w:color="E0E7ED"/>
            </w:tcBorders>
            <w:shd w:val="clear" w:color="auto" w:fill="E0E7ED"/>
          </w:tcPr>
          <w:p>
            <w:pPr>
              <w:spacing w:after="0"/>
              <w:rPr>
                <w:sz w:val="14"/>
                <w:szCs w:val="14"/>
                <w:color w:val="auto"/>
              </w:rPr>
            </w:pPr>
          </w:p>
        </w:tc>
        <w:tc>
          <w:tcPr>
            <w:tcW w:w="240" w:type="dxa"/>
            <w:vAlign w:val="bottom"/>
            <w:tcBorders>
              <w:bottom w:val="single" w:sz="8" w:color="auto"/>
            </w:tcBorders>
            <w:shd w:val="clear" w:color="auto" w:fill="E0E7ED"/>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1,250,313</w:t>
            </w:r>
          </w:p>
        </w:tc>
        <w:tc>
          <w:tcPr>
            <w:tcW w:w="80" w:type="dxa"/>
            <w:vAlign w:val="bottom"/>
            <w:tcBorders>
              <w:bottom w:val="single" w:sz="8" w:color="E0E7ED"/>
            </w:tcBorders>
            <w:shd w:val="clear" w:color="auto" w:fill="E0E7ED"/>
          </w:tcPr>
          <w:p>
            <w:pPr>
              <w:spacing w:after="0"/>
              <w:rPr>
                <w:sz w:val="14"/>
                <w:szCs w:val="14"/>
                <w:color w:val="auto"/>
              </w:rPr>
            </w:pPr>
          </w:p>
        </w:tc>
        <w:tc>
          <w:tcPr>
            <w:tcW w:w="360" w:type="dxa"/>
            <w:vAlign w:val="bottom"/>
            <w:tcBorders>
              <w:bottom w:val="single" w:sz="8" w:color="auto"/>
            </w:tcBorders>
            <w:shd w:val="clear" w:color="auto" w:fill="E0E7ED"/>
          </w:tcPr>
          <w:p>
            <w:pPr>
              <w:jc w:val="right"/>
              <w:ind w:right="2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619,027</w:t>
            </w:r>
          </w:p>
        </w:tc>
        <w:tc>
          <w:tcPr>
            <w:tcW w:w="80" w:type="dxa"/>
            <w:vAlign w:val="bottom"/>
            <w:tcBorders>
              <w:bottom w:val="single" w:sz="8" w:color="E0E7ED"/>
            </w:tcBorders>
            <w:shd w:val="clear" w:color="auto" w:fill="E0E7ED"/>
          </w:tcPr>
          <w:p>
            <w:pPr>
              <w:spacing w:after="0"/>
              <w:rPr>
                <w:sz w:val="14"/>
                <w:szCs w:val="14"/>
                <w:color w:val="auto"/>
              </w:rPr>
            </w:pPr>
          </w:p>
        </w:tc>
        <w:tc>
          <w:tcPr>
            <w:tcW w:w="300" w:type="dxa"/>
            <w:vAlign w:val="bottom"/>
            <w:tcBorders>
              <w:bottom w:val="single" w:sz="8" w:color="auto"/>
            </w:tcBorders>
            <w:shd w:val="clear" w:color="auto" w:fill="E0E7ED"/>
          </w:tcPr>
          <w:p>
            <w:pPr>
              <w:jc w:val="right"/>
              <w:ind w:right="16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774,903</w:t>
            </w:r>
          </w:p>
        </w:tc>
        <w:tc>
          <w:tcPr>
            <w:tcW w:w="100" w:type="dxa"/>
            <w:vAlign w:val="bottom"/>
            <w:tcBorders>
              <w:bottom w:val="single" w:sz="8" w:color="E0E7ED"/>
            </w:tcBorders>
            <w:shd w:val="clear" w:color="auto" w:fill="E0E7ED"/>
          </w:tcPr>
          <w:p>
            <w:pPr>
              <w:spacing w:after="0"/>
              <w:rPr>
                <w:sz w:val="14"/>
                <w:szCs w:val="14"/>
                <w:color w:val="auto"/>
              </w:rPr>
            </w:pPr>
          </w:p>
        </w:tc>
        <w:tc>
          <w:tcPr>
            <w:tcW w:w="140" w:type="dxa"/>
            <w:vAlign w:val="bottom"/>
            <w:tcBorders>
              <w:bottom w:val="single" w:sz="8" w:color="auto"/>
            </w:tcBorders>
            <w:shd w:val="clear" w:color="auto" w:fill="E0E7ED"/>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1,300,229</w:t>
            </w:r>
          </w:p>
        </w:tc>
        <w:tc>
          <w:tcPr>
            <w:tcW w:w="100" w:type="dxa"/>
            <w:vAlign w:val="bottom"/>
            <w:tcBorders>
              <w:bottom w:val="single" w:sz="8" w:color="E0E7ED"/>
            </w:tcBorders>
            <w:shd w:val="clear" w:color="auto" w:fill="E0E7ED"/>
          </w:tcPr>
          <w:p>
            <w:pPr>
              <w:spacing w:after="0"/>
              <w:rPr>
                <w:sz w:val="14"/>
                <w:szCs w:val="14"/>
                <w:color w:val="auto"/>
              </w:rPr>
            </w:pPr>
          </w:p>
        </w:tc>
        <w:tc>
          <w:tcPr>
            <w:tcW w:w="220" w:type="dxa"/>
            <w:vAlign w:val="bottom"/>
            <w:tcBorders>
              <w:bottom w:val="single" w:sz="8" w:color="auto"/>
            </w:tcBorders>
            <w:shd w:val="clear" w:color="auto" w:fill="E0E7ED"/>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7,697,087</w:t>
            </w:r>
          </w:p>
        </w:tc>
      </w:tr>
      <w:tr>
        <w:trPr>
          <w:trHeight w:val="20"/>
        </w:trPr>
        <w:tc>
          <w:tcPr>
            <w:tcW w:w="246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7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7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7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6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7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8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r>
      <w:tr>
        <w:trPr>
          <w:trHeight w:val="111"/>
        </w:trPr>
        <w:tc>
          <w:tcPr>
            <w:tcW w:w="2560" w:type="dxa"/>
            <w:vAlign w:val="bottom"/>
            <w:gridSpan w:val="2"/>
          </w:tcPr>
          <w:p>
            <w:pPr>
              <w:ind w:left="20"/>
              <w:spacing w:after="0" w:line="111" w:lineRule="exact"/>
              <w:rPr>
                <w:sz w:val="20"/>
                <w:szCs w:val="20"/>
                <w:color w:val="auto"/>
              </w:rPr>
            </w:pPr>
            <w:r>
              <w:rPr>
                <w:rFonts w:ascii="Arial" w:cs="Arial" w:eastAsia="Arial" w:hAnsi="Arial"/>
                <w:sz w:val="11"/>
                <w:szCs w:val="11"/>
                <w:b w:val="1"/>
                <w:bCs w:val="1"/>
                <w:color w:val="auto"/>
              </w:rPr>
              <w:t>Total gross charge-offs</w:t>
            </w:r>
          </w:p>
        </w:tc>
        <w:tc>
          <w:tcPr>
            <w:tcW w:w="220" w:type="dxa"/>
            <w:vAlign w:val="bottom"/>
          </w:tcPr>
          <w:p>
            <w:pPr>
              <w:jc w:val="right"/>
              <w:ind w:right="109"/>
              <w:spacing w:after="0" w:line="111" w:lineRule="exact"/>
              <w:rPr>
                <w:sz w:val="20"/>
                <w:szCs w:val="20"/>
                <w:color w:val="auto"/>
              </w:rPr>
            </w:pPr>
            <w:r>
              <w:rPr>
                <w:rFonts w:ascii="Arial" w:cs="Arial" w:eastAsia="Arial" w:hAnsi="Arial"/>
                <w:sz w:val="10"/>
                <w:szCs w:val="10"/>
                <w:color w:val="auto"/>
                <w:w w:val="71"/>
              </w:rPr>
              <w:t>$</w:t>
            </w:r>
          </w:p>
        </w:tc>
        <w:tc>
          <w:tcPr>
            <w:tcW w:w="780" w:type="dxa"/>
            <w:vAlign w:val="bottom"/>
          </w:tcPr>
          <w:p>
            <w:pPr>
              <w:jc w:val="right"/>
              <w:ind w:right="3"/>
              <w:spacing w:after="0" w:line="111" w:lineRule="exact"/>
              <w:rPr>
                <w:sz w:val="20"/>
                <w:szCs w:val="20"/>
                <w:color w:val="auto"/>
              </w:rPr>
            </w:pPr>
            <w:r>
              <w:rPr>
                <w:rFonts w:ascii="Arial" w:cs="Arial" w:eastAsia="Arial" w:hAnsi="Arial"/>
                <w:sz w:val="11"/>
                <w:szCs w:val="11"/>
                <w:color w:val="auto"/>
              </w:rPr>
              <w:t>9</w:t>
            </w:r>
          </w:p>
        </w:tc>
        <w:tc>
          <w:tcPr>
            <w:tcW w:w="80" w:type="dxa"/>
            <w:vAlign w:val="bottom"/>
          </w:tcPr>
          <w:p>
            <w:pPr>
              <w:spacing w:after="0"/>
              <w:rPr>
                <w:sz w:val="9"/>
                <w:szCs w:val="9"/>
                <w:color w:val="auto"/>
              </w:rPr>
            </w:pPr>
          </w:p>
        </w:tc>
        <w:tc>
          <w:tcPr>
            <w:tcW w:w="240" w:type="dxa"/>
            <w:vAlign w:val="bottom"/>
          </w:tcPr>
          <w:p>
            <w:pPr>
              <w:jc w:val="right"/>
              <w:ind w:right="103"/>
              <w:spacing w:after="0" w:line="111" w:lineRule="exact"/>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line="111" w:lineRule="exact"/>
              <w:rPr>
                <w:sz w:val="20"/>
                <w:szCs w:val="20"/>
                <w:color w:val="auto"/>
              </w:rPr>
            </w:pPr>
            <w:r>
              <w:rPr>
                <w:rFonts w:ascii="Arial" w:cs="Arial" w:eastAsia="Arial" w:hAnsi="Arial"/>
                <w:sz w:val="11"/>
                <w:szCs w:val="11"/>
                <w:color w:val="auto"/>
              </w:rPr>
              <w:t>15,011</w:t>
            </w:r>
          </w:p>
        </w:tc>
        <w:tc>
          <w:tcPr>
            <w:tcW w:w="80" w:type="dxa"/>
            <w:vAlign w:val="bottom"/>
          </w:tcPr>
          <w:p>
            <w:pPr>
              <w:spacing w:after="0"/>
              <w:rPr>
                <w:sz w:val="9"/>
                <w:szCs w:val="9"/>
                <w:color w:val="auto"/>
              </w:rPr>
            </w:pPr>
          </w:p>
        </w:tc>
        <w:tc>
          <w:tcPr>
            <w:tcW w:w="220" w:type="dxa"/>
            <w:vAlign w:val="bottom"/>
          </w:tcPr>
          <w:p>
            <w:pPr>
              <w:jc w:val="right"/>
              <w:ind w:right="83"/>
              <w:spacing w:after="0" w:line="111" w:lineRule="exact"/>
              <w:rPr>
                <w:sz w:val="20"/>
                <w:szCs w:val="20"/>
                <w:color w:val="auto"/>
              </w:rPr>
            </w:pPr>
            <w:r>
              <w:rPr>
                <w:rFonts w:ascii="Arial" w:cs="Arial" w:eastAsia="Arial" w:hAnsi="Arial"/>
                <w:sz w:val="11"/>
                <w:szCs w:val="11"/>
                <w:color w:val="auto"/>
                <w:w w:val="97"/>
              </w:rPr>
              <w:t>$</w:t>
            </w:r>
          </w:p>
        </w:tc>
        <w:tc>
          <w:tcPr>
            <w:tcW w:w="800" w:type="dxa"/>
            <w:vAlign w:val="bottom"/>
          </w:tcPr>
          <w:p>
            <w:pPr>
              <w:jc w:val="right"/>
              <w:ind w:right="3"/>
              <w:spacing w:after="0" w:line="111" w:lineRule="exact"/>
              <w:rPr>
                <w:sz w:val="20"/>
                <w:szCs w:val="20"/>
                <w:color w:val="auto"/>
              </w:rPr>
            </w:pPr>
            <w:r>
              <w:rPr>
                <w:rFonts w:ascii="Arial" w:cs="Arial" w:eastAsia="Arial" w:hAnsi="Arial"/>
                <w:sz w:val="11"/>
                <w:szCs w:val="11"/>
                <w:color w:val="auto"/>
              </w:rPr>
              <w:t>254</w:t>
            </w:r>
          </w:p>
        </w:tc>
        <w:tc>
          <w:tcPr>
            <w:tcW w:w="80" w:type="dxa"/>
            <w:vAlign w:val="bottom"/>
          </w:tcPr>
          <w:p>
            <w:pPr>
              <w:spacing w:after="0"/>
              <w:rPr>
                <w:sz w:val="9"/>
                <w:szCs w:val="9"/>
                <w:color w:val="auto"/>
              </w:rPr>
            </w:pPr>
          </w:p>
        </w:tc>
        <w:tc>
          <w:tcPr>
            <w:tcW w:w="240" w:type="dxa"/>
            <w:vAlign w:val="bottom"/>
          </w:tcPr>
          <w:p>
            <w:pPr>
              <w:jc w:val="right"/>
              <w:ind w:right="103"/>
              <w:spacing w:after="0" w:line="111" w:lineRule="exact"/>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line="111" w:lineRule="exact"/>
              <w:rPr>
                <w:sz w:val="20"/>
                <w:szCs w:val="20"/>
                <w:color w:val="auto"/>
              </w:rPr>
            </w:pPr>
            <w:r>
              <w:rPr>
                <w:rFonts w:ascii="Arial" w:cs="Arial" w:eastAsia="Arial" w:hAnsi="Arial"/>
                <w:sz w:val="11"/>
                <w:szCs w:val="11"/>
                <w:color w:val="auto"/>
              </w:rPr>
              <w:t>3,099</w:t>
            </w:r>
          </w:p>
        </w:tc>
        <w:tc>
          <w:tcPr>
            <w:tcW w:w="80" w:type="dxa"/>
            <w:vAlign w:val="bottom"/>
          </w:tcPr>
          <w:p>
            <w:pPr>
              <w:spacing w:after="0"/>
              <w:rPr>
                <w:sz w:val="9"/>
                <w:szCs w:val="9"/>
                <w:color w:val="auto"/>
              </w:rPr>
            </w:pPr>
          </w:p>
        </w:tc>
        <w:tc>
          <w:tcPr>
            <w:tcW w:w="360" w:type="dxa"/>
            <w:vAlign w:val="bottom"/>
          </w:tcPr>
          <w:p>
            <w:pPr>
              <w:jc w:val="right"/>
              <w:ind w:right="223"/>
              <w:spacing w:after="0" w:line="111" w:lineRule="exact"/>
              <w:rPr>
                <w:sz w:val="20"/>
                <w:szCs w:val="20"/>
                <w:color w:val="auto"/>
              </w:rPr>
            </w:pPr>
            <w:r>
              <w:rPr>
                <w:rFonts w:ascii="Arial" w:cs="Arial" w:eastAsia="Arial" w:hAnsi="Arial"/>
                <w:sz w:val="11"/>
                <w:szCs w:val="11"/>
                <w:color w:val="auto"/>
                <w:w w:val="97"/>
              </w:rPr>
              <w:t>$</w:t>
            </w:r>
          </w:p>
        </w:tc>
        <w:tc>
          <w:tcPr>
            <w:tcW w:w="660" w:type="dxa"/>
            <w:vAlign w:val="bottom"/>
          </w:tcPr>
          <w:p>
            <w:pPr>
              <w:jc w:val="right"/>
              <w:ind w:right="3"/>
              <w:spacing w:after="0" w:line="111"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300" w:type="dxa"/>
            <w:vAlign w:val="bottom"/>
          </w:tcPr>
          <w:p>
            <w:pPr>
              <w:jc w:val="right"/>
              <w:ind w:right="163"/>
              <w:spacing w:after="0" w:line="111" w:lineRule="exact"/>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line="111" w:lineRule="exact"/>
              <w:rPr>
                <w:sz w:val="20"/>
                <w:szCs w:val="20"/>
                <w:color w:val="auto"/>
              </w:rPr>
            </w:pPr>
            <w:r>
              <w:rPr>
                <w:rFonts w:ascii="Arial" w:cs="Arial" w:eastAsia="Arial" w:hAnsi="Arial"/>
                <w:sz w:val="11"/>
                <w:szCs w:val="11"/>
                <w:color w:val="auto"/>
              </w:rPr>
              <w:t>1,189</w:t>
            </w:r>
          </w:p>
        </w:tc>
        <w:tc>
          <w:tcPr>
            <w:tcW w:w="100" w:type="dxa"/>
            <w:vAlign w:val="bottom"/>
          </w:tcPr>
          <w:p>
            <w:pPr>
              <w:spacing w:after="0"/>
              <w:rPr>
                <w:sz w:val="9"/>
                <w:szCs w:val="9"/>
                <w:color w:val="auto"/>
              </w:rPr>
            </w:pPr>
          </w:p>
        </w:tc>
        <w:tc>
          <w:tcPr>
            <w:tcW w:w="140" w:type="dxa"/>
            <w:vAlign w:val="bottom"/>
          </w:tcPr>
          <w:p>
            <w:pPr>
              <w:jc w:val="right"/>
              <w:ind w:right="29"/>
              <w:spacing w:after="0" w:line="111" w:lineRule="exact"/>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line="111" w:lineRule="exact"/>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19,566</w:t>
            </w: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9000"/>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Past Due and Non-accrual Loans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An analysis of portfolio loans that were past due and still accruing, or on a non-accrual status, is presented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As of March 31, 2025</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gridSpan w:val="6"/>
          </w:tcPr>
          <w:p>
            <w:pPr>
              <w:jc w:val="center"/>
              <w:spacing w:after="0"/>
              <w:rPr>
                <w:sz w:val="20"/>
                <w:szCs w:val="20"/>
                <w:color w:val="auto"/>
              </w:rPr>
            </w:pPr>
            <w:r>
              <w:rPr>
                <w:rFonts w:ascii="Arial" w:cs="Arial" w:eastAsia="Arial" w:hAnsi="Arial"/>
                <w:sz w:val="11"/>
                <w:szCs w:val="11"/>
                <w:b w:val="1"/>
                <w:bCs w:val="1"/>
                <w:color w:val="auto"/>
              </w:rPr>
              <w:t>Loans past due, still accruing</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Non-accrual</w:t>
            </w:r>
          </w:p>
        </w:tc>
        <w:tc>
          <w:tcPr>
            <w:tcW w:w="1360" w:type="dxa"/>
            <w:vAlign w:val="bottom"/>
            <w:gridSpan w:val="2"/>
          </w:tcPr>
          <w:p>
            <w:pPr>
              <w:jc w:val="center"/>
              <w:spacing w:after="0"/>
              <w:rPr>
                <w:sz w:val="20"/>
                <w:szCs w:val="20"/>
                <w:color w:val="auto"/>
              </w:rPr>
            </w:pPr>
            <w:r>
              <w:rPr>
                <w:rFonts w:ascii="Arial" w:cs="Arial" w:eastAsia="Arial" w:hAnsi="Arial"/>
                <w:sz w:val="11"/>
                <w:szCs w:val="11"/>
                <w:b w:val="1"/>
                <w:bCs w:val="1"/>
                <w:color w:val="auto"/>
              </w:rPr>
              <w:t>Non-accrual Loans with</w:t>
            </w:r>
          </w:p>
        </w:tc>
        <w:tc>
          <w:tcPr>
            <w:tcW w:w="0" w:type="dxa"/>
            <w:vAlign w:val="bottom"/>
          </w:tcPr>
          <w:p>
            <w:pPr>
              <w:spacing w:after="0"/>
              <w:rPr>
                <w:sz w:val="1"/>
                <w:szCs w:val="1"/>
                <w:color w:val="auto"/>
              </w:rPr>
            </w:pPr>
          </w:p>
        </w:tc>
      </w:tr>
      <w:tr>
        <w:trPr>
          <w:trHeight w:val="32"/>
        </w:trPr>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360" w:type="dxa"/>
            <w:vAlign w:val="bottom"/>
            <w:gridSpan w:val="2"/>
            <w:vMerge w:val="restart"/>
          </w:tcPr>
          <w:p>
            <w:pPr>
              <w:jc w:val="center"/>
              <w:spacing w:after="0" w:line="106" w:lineRule="exact"/>
              <w:rPr>
                <w:sz w:val="20"/>
                <w:szCs w:val="20"/>
                <w:color w:val="auto"/>
              </w:rPr>
            </w:pPr>
            <w:r>
              <w:rPr>
                <w:rFonts w:ascii="Arial" w:cs="Arial" w:eastAsia="Arial" w:hAnsi="Arial"/>
                <w:sz w:val="11"/>
                <w:szCs w:val="11"/>
                <w:b w:val="1"/>
                <w:bCs w:val="1"/>
                <w:color w:val="auto"/>
              </w:rPr>
              <w:t>No Allowance for Credit</w:t>
            </w:r>
          </w:p>
        </w:tc>
        <w:tc>
          <w:tcPr>
            <w:tcW w:w="0" w:type="dxa"/>
            <w:vAlign w:val="bottom"/>
          </w:tcPr>
          <w:p>
            <w:pPr>
              <w:spacing w:after="0"/>
              <w:rPr>
                <w:sz w:val="1"/>
                <w:szCs w:val="1"/>
                <w:color w:val="auto"/>
              </w:rPr>
            </w:pPr>
          </w:p>
        </w:tc>
      </w:tr>
      <w:tr>
        <w:trPr>
          <w:trHeight w:val="54"/>
        </w:trPr>
        <w:tc>
          <w:tcPr>
            <w:tcW w:w="414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40" w:type="dxa"/>
            <w:vAlign w:val="bottom"/>
          </w:tcPr>
          <w:p>
            <w:pPr>
              <w:spacing w:after="0"/>
              <w:rPr>
                <w:sz w:val="4"/>
                <w:szCs w:val="4"/>
                <w:color w:val="auto"/>
              </w:rPr>
            </w:pPr>
          </w:p>
        </w:tc>
        <w:tc>
          <w:tcPr>
            <w:tcW w:w="1060" w:type="dxa"/>
            <w:vAlign w:val="bottom"/>
            <w:vMerge w:val="restart"/>
          </w:tcPr>
          <w:p>
            <w:pPr>
              <w:jc w:val="right"/>
              <w:ind w:right="271"/>
              <w:spacing w:after="0"/>
              <w:rPr>
                <w:sz w:val="20"/>
                <w:szCs w:val="20"/>
                <w:color w:val="auto"/>
              </w:rPr>
            </w:pPr>
            <w:r>
              <w:rPr>
                <w:rFonts w:ascii="Arial" w:cs="Arial" w:eastAsia="Arial" w:hAnsi="Arial"/>
                <w:sz w:val="11"/>
                <w:szCs w:val="11"/>
                <w:b w:val="1"/>
                <w:bCs w:val="1"/>
                <w:color w:val="auto"/>
              </w:rPr>
              <w:t>30-59 Days</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rPr>
              <w:t>60-89 Days</w:t>
            </w:r>
          </w:p>
        </w:tc>
        <w:tc>
          <w:tcPr>
            <w:tcW w:w="100" w:type="dxa"/>
            <w:vAlign w:val="bottom"/>
          </w:tcPr>
          <w:p>
            <w:pPr>
              <w:spacing w:after="0"/>
              <w:rPr>
                <w:sz w:val="4"/>
                <w:szCs w:val="4"/>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90+Days</w:t>
            </w:r>
          </w:p>
        </w:tc>
        <w:tc>
          <w:tcPr>
            <w:tcW w:w="2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4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Loans</w:t>
            </w:r>
          </w:p>
        </w:tc>
        <w:tc>
          <w:tcPr>
            <w:tcW w:w="280" w:type="dxa"/>
            <w:vAlign w:val="bottom"/>
          </w:tcPr>
          <w:p>
            <w:pPr>
              <w:spacing w:after="0"/>
              <w:rPr>
                <w:sz w:val="11"/>
                <w:szCs w:val="11"/>
                <w:color w:val="auto"/>
              </w:rPr>
            </w:pPr>
          </w:p>
        </w:tc>
        <w:tc>
          <w:tcPr>
            <w:tcW w:w="1080" w:type="dxa"/>
            <w:vAlign w:val="bottom"/>
          </w:tcPr>
          <w:p>
            <w:pPr>
              <w:jc w:val="center"/>
              <w:ind w:right="211"/>
              <w:spacing w:after="0"/>
              <w:rPr>
                <w:sz w:val="20"/>
                <w:szCs w:val="20"/>
                <w:color w:val="auto"/>
              </w:rPr>
            </w:pPr>
            <w:r>
              <w:rPr>
                <w:rFonts w:ascii="Arial" w:cs="Arial" w:eastAsia="Arial" w:hAnsi="Arial"/>
                <w:sz w:val="11"/>
                <w:szCs w:val="11"/>
                <w:b w:val="1"/>
                <w:bCs w:val="1"/>
                <w:color w:val="auto"/>
              </w:rPr>
              <w:t>Losses</w:t>
            </w:r>
          </w:p>
        </w:tc>
        <w:tc>
          <w:tcPr>
            <w:tcW w:w="0" w:type="dxa"/>
            <w:vAlign w:val="bottom"/>
          </w:tcPr>
          <w:p>
            <w:pPr>
              <w:spacing w:after="0"/>
              <w:rPr>
                <w:sz w:val="1"/>
                <w:szCs w:val="1"/>
                <w:color w:val="auto"/>
              </w:rPr>
            </w:pPr>
          </w:p>
        </w:tc>
      </w:tr>
      <w:tr>
        <w:trPr>
          <w:trHeight w:val="192"/>
        </w:trPr>
        <w:tc>
          <w:tcPr>
            <w:tcW w:w="414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Commercial loans</w:t>
            </w:r>
          </w:p>
        </w:tc>
        <w:tc>
          <w:tcPr>
            <w:tcW w:w="24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40" w:type="dxa"/>
            <w:vAlign w:val="bottom"/>
            <w:tcBorders>
              <w:top w:val="single" w:sz="8" w:color="auto"/>
            </w:tcBorders>
            <w:shd w:val="clear" w:color="auto" w:fill="E0E7ED"/>
          </w:tcPr>
          <w:p>
            <w:pPr>
              <w:spacing w:after="0"/>
              <w:rPr>
                <w:sz w:val="16"/>
                <w:szCs w:val="16"/>
                <w:color w:val="auto"/>
              </w:rPr>
            </w:pPr>
          </w:p>
        </w:tc>
        <w:tc>
          <w:tcPr>
            <w:tcW w:w="112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00" w:type="dxa"/>
            <w:vAlign w:val="bottom"/>
            <w:tcBorders>
              <w:top w:val="single" w:sz="8" w:color="auto"/>
            </w:tcBorders>
            <w:shd w:val="clear" w:color="auto" w:fill="E0E7ED"/>
          </w:tcPr>
          <w:p>
            <w:pPr>
              <w:spacing w:after="0"/>
              <w:rPr>
                <w:sz w:val="16"/>
                <w:szCs w:val="16"/>
                <w:color w:val="auto"/>
              </w:rPr>
            </w:pPr>
          </w:p>
        </w:tc>
        <w:tc>
          <w:tcPr>
            <w:tcW w:w="12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4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1,778</w:t>
            </w: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5,110</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794</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38,205</w:t>
            </w:r>
          </w:p>
        </w:tc>
        <w:tc>
          <w:tcPr>
            <w:tcW w:w="100" w:type="dxa"/>
            <w:vAlign w:val="bottom"/>
          </w:tcPr>
          <w:p>
            <w:pPr>
              <w:spacing w:after="0"/>
              <w:rPr>
                <w:sz w:val="17"/>
                <w:szCs w:val="17"/>
                <w:color w:val="auto"/>
              </w:rPr>
            </w:pPr>
          </w:p>
        </w:tc>
        <w:tc>
          <w:tcPr>
            <w:tcW w:w="280" w:type="dxa"/>
            <w:vAlign w:val="bottom"/>
          </w:tcPr>
          <w:p>
            <w:pPr>
              <w:jc w:val="right"/>
              <w:ind w:right="136"/>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22"/>
        </w:trPr>
        <w:tc>
          <w:tcPr>
            <w:tcW w:w="41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24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1,887</w:t>
            </w:r>
          </w:p>
        </w:tc>
        <w:tc>
          <w:tcPr>
            <w:tcW w:w="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2,399</w:t>
            </w:r>
          </w:p>
        </w:tc>
        <w:tc>
          <w:tcPr>
            <w:tcW w:w="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7,699</w:t>
            </w:r>
          </w:p>
        </w:tc>
        <w:tc>
          <w:tcPr>
            <w:tcW w:w="10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1,514</w:t>
            </w:r>
          </w:p>
        </w:tc>
        <w:tc>
          <w:tcPr>
            <w:tcW w:w="0" w:type="dxa"/>
            <w:vAlign w:val="bottom"/>
          </w:tcPr>
          <w:p>
            <w:pPr>
              <w:spacing w:after="0"/>
              <w:rPr>
                <w:sz w:val="1"/>
                <w:szCs w:val="1"/>
                <w:color w:val="auto"/>
              </w:rPr>
            </w:pPr>
          </w:p>
        </w:tc>
      </w:tr>
      <w:tr>
        <w:trPr>
          <w:trHeight w:val="203"/>
        </w:trPr>
        <w:tc>
          <w:tcPr>
            <w:tcW w:w="4140" w:type="dxa"/>
            <w:vAlign w:val="bottom"/>
          </w:tcPr>
          <w:p>
            <w:pPr>
              <w:ind w:left="140"/>
              <w:spacing w:after="0"/>
              <w:rPr>
                <w:sz w:val="20"/>
                <w:szCs w:val="20"/>
                <w:color w:val="auto"/>
              </w:rPr>
            </w:pPr>
            <w:r>
              <w:rPr>
                <w:rFonts w:ascii="Arial" w:cs="Arial" w:eastAsia="Arial" w:hAnsi="Arial"/>
                <w:sz w:val="14"/>
                <w:szCs w:val="14"/>
                <w:color w:val="auto"/>
              </w:rPr>
              <w:t>Real estate construction</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14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Past due and non-accrual commercial loans</w:t>
            </w:r>
          </w:p>
        </w:tc>
        <w:tc>
          <w:tcPr>
            <w:tcW w:w="240" w:type="dxa"/>
            <w:vAlign w:val="bottom"/>
            <w:tcBorders>
              <w:top w:val="single" w:sz="8" w:color="auto"/>
              <w:bottom w:val="single" w:sz="8" w:color="auto"/>
            </w:tcBorders>
            <w:shd w:val="clear" w:color="auto" w:fill="E0E7ED"/>
          </w:tcPr>
          <w:p>
            <w:pPr>
              <w:spacing w:after="0"/>
              <w:rPr>
                <w:sz w:val="18"/>
                <w:szCs w:val="18"/>
                <w:color w:val="auto"/>
              </w:rPr>
            </w:pPr>
          </w:p>
        </w:tc>
        <w:tc>
          <w:tcPr>
            <w:tcW w:w="10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3,665</w:t>
            </w:r>
          </w:p>
        </w:tc>
        <w:tc>
          <w:tcPr>
            <w:tcW w:w="60" w:type="dxa"/>
            <w:vAlign w:val="bottom"/>
            <w:tcBorders>
              <w:top w:val="single" w:sz="8" w:color="auto"/>
              <w:bottom w:val="single" w:sz="8" w:color="auto"/>
            </w:tcBorders>
            <w:shd w:val="clear" w:color="auto" w:fill="E0E7ED"/>
          </w:tcPr>
          <w:p>
            <w:pPr>
              <w:spacing w:after="0"/>
              <w:rPr>
                <w:sz w:val="18"/>
                <w:szCs w:val="18"/>
                <w:color w:val="auto"/>
              </w:rPr>
            </w:pPr>
          </w:p>
        </w:tc>
        <w:tc>
          <w:tcPr>
            <w:tcW w:w="80" w:type="dxa"/>
            <w:vAlign w:val="bottom"/>
            <w:tcBorders>
              <w:top w:val="single" w:sz="8" w:color="E0E7ED"/>
            </w:tcBorders>
            <w:shd w:val="clear" w:color="auto" w:fill="E0E7ED"/>
          </w:tcPr>
          <w:p>
            <w:pPr>
              <w:spacing w:after="0"/>
              <w:rPr>
                <w:sz w:val="18"/>
                <w:szCs w:val="18"/>
                <w:color w:val="auto"/>
              </w:rPr>
            </w:pPr>
          </w:p>
        </w:tc>
        <w:tc>
          <w:tcPr>
            <w:tcW w:w="240" w:type="dxa"/>
            <w:vAlign w:val="bottom"/>
            <w:tcBorders>
              <w:top w:val="single" w:sz="8" w:color="auto"/>
              <w:bottom w:val="single" w:sz="8" w:color="auto"/>
            </w:tcBorders>
            <w:shd w:val="clear" w:color="auto" w:fill="E0E7ED"/>
          </w:tcPr>
          <w:p>
            <w:pPr>
              <w:spacing w:after="0"/>
              <w:rPr>
                <w:sz w:val="18"/>
                <w:szCs w:val="18"/>
                <w:color w:val="auto"/>
              </w:rPr>
            </w:pPr>
          </w:p>
        </w:tc>
        <w:tc>
          <w:tcPr>
            <w:tcW w:w="11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7,509</w:t>
            </w:r>
          </w:p>
        </w:tc>
        <w:tc>
          <w:tcPr>
            <w:tcW w:w="80" w:type="dxa"/>
            <w:vAlign w:val="bottom"/>
            <w:tcBorders>
              <w:top w:val="single" w:sz="8" w:color="E0E7ED"/>
            </w:tcBorders>
            <w:shd w:val="clear" w:color="auto" w:fill="E0E7ED"/>
          </w:tcPr>
          <w:p>
            <w:pPr>
              <w:spacing w:after="0"/>
              <w:rPr>
                <w:sz w:val="18"/>
                <w:szCs w:val="18"/>
                <w:color w:val="auto"/>
              </w:rPr>
            </w:pPr>
          </w:p>
        </w:tc>
        <w:tc>
          <w:tcPr>
            <w:tcW w:w="100" w:type="dxa"/>
            <w:vAlign w:val="bottom"/>
            <w:tcBorders>
              <w:top w:val="single" w:sz="8" w:color="auto"/>
              <w:bottom w:val="single" w:sz="8" w:color="auto"/>
            </w:tcBorders>
            <w:shd w:val="clear" w:color="auto" w:fill="E0E7ED"/>
          </w:tcPr>
          <w:p>
            <w:pPr>
              <w:spacing w:after="0"/>
              <w:rPr>
                <w:sz w:val="18"/>
                <w:szCs w:val="18"/>
                <w:color w:val="auto"/>
              </w:rPr>
            </w:pPr>
          </w:p>
        </w:tc>
        <w:tc>
          <w:tcPr>
            <w:tcW w:w="12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867</w:t>
            </w:r>
          </w:p>
        </w:tc>
        <w:tc>
          <w:tcPr>
            <w:tcW w:w="80" w:type="dxa"/>
            <w:vAlign w:val="bottom"/>
            <w:tcBorders>
              <w:top w:val="single" w:sz="8" w:color="E0E7ED"/>
            </w:tcBorders>
            <w:shd w:val="clear" w:color="auto" w:fill="E0E7ED"/>
          </w:tcPr>
          <w:p>
            <w:pPr>
              <w:spacing w:after="0"/>
              <w:rPr>
                <w:sz w:val="18"/>
                <w:szCs w:val="18"/>
                <w:color w:val="auto"/>
              </w:rPr>
            </w:pPr>
          </w:p>
        </w:tc>
        <w:tc>
          <w:tcPr>
            <w:tcW w:w="220" w:type="dxa"/>
            <w:vAlign w:val="bottom"/>
            <w:tcBorders>
              <w:top w:val="single" w:sz="8" w:color="auto"/>
              <w:bottom w:val="single" w:sz="8" w:color="auto"/>
            </w:tcBorders>
            <w:shd w:val="clear" w:color="auto" w:fill="E0E7ED"/>
          </w:tcPr>
          <w:p>
            <w:pPr>
              <w:spacing w:after="0"/>
              <w:rPr>
                <w:sz w:val="18"/>
                <w:szCs w:val="18"/>
                <w:color w:val="auto"/>
              </w:rPr>
            </w:pPr>
          </w:p>
        </w:tc>
        <w:tc>
          <w:tcPr>
            <w:tcW w:w="1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45,923</w:t>
            </w:r>
          </w:p>
        </w:tc>
        <w:tc>
          <w:tcPr>
            <w:tcW w:w="100" w:type="dxa"/>
            <w:vAlign w:val="bottom"/>
            <w:tcBorders>
              <w:top w:val="single" w:sz="8" w:color="E0E7ED"/>
            </w:tcBorders>
            <w:shd w:val="clear" w:color="auto" w:fill="E0E7ED"/>
          </w:tcPr>
          <w:p>
            <w:pPr>
              <w:spacing w:after="0"/>
              <w:rPr>
                <w:sz w:val="18"/>
                <w:szCs w:val="18"/>
                <w:color w:val="auto"/>
              </w:rPr>
            </w:pPr>
          </w:p>
        </w:tc>
        <w:tc>
          <w:tcPr>
            <w:tcW w:w="280" w:type="dxa"/>
            <w:vAlign w:val="bottom"/>
            <w:tcBorders>
              <w:top w:val="single" w:sz="8" w:color="auto"/>
              <w:bottom w:val="single" w:sz="8" w:color="auto"/>
            </w:tcBorders>
            <w:shd w:val="clear" w:color="auto" w:fill="E0E7ED"/>
          </w:tcPr>
          <w:p>
            <w:pPr>
              <w:spacing w:after="0"/>
              <w:rPr>
                <w:sz w:val="18"/>
                <w:szCs w:val="18"/>
                <w:color w:val="auto"/>
              </w:rPr>
            </w:pPr>
          </w:p>
        </w:tc>
        <w:tc>
          <w:tcPr>
            <w:tcW w:w="10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Retail loans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Retail real estate</w:t>
            </w:r>
          </w:p>
        </w:tc>
        <w:tc>
          <w:tcPr>
            <w:tcW w:w="24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3,778</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638</w:t>
            </w:r>
          </w:p>
        </w:tc>
        <w:tc>
          <w:tcPr>
            <w:tcW w:w="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5,190</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2,630</w:t>
            </w:r>
          </w:p>
        </w:tc>
        <w:tc>
          <w:tcPr>
            <w:tcW w:w="10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Retail other</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w:t>
            </w:r>
          </w:p>
        </w:tc>
        <w:tc>
          <w:tcPr>
            <w:tcW w:w="80" w:type="dxa"/>
            <w:vAlign w:val="bottom"/>
            <w:tcBorders>
              <w:bottom w:val="single" w:sz="8" w:color="E0E7E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E0E7ED"/>
          </w:tcPr>
          <w:p>
            <w:pPr>
              <w:ind w:left="20"/>
              <w:spacing w:after="0"/>
              <w:rPr>
                <w:sz w:val="20"/>
                <w:szCs w:val="20"/>
                <w:color w:val="auto"/>
              </w:rPr>
            </w:pPr>
            <w:r>
              <w:rPr>
                <w:rFonts w:ascii="Arial" w:cs="Arial" w:eastAsia="Arial" w:hAnsi="Arial"/>
                <w:sz w:val="14"/>
                <w:szCs w:val="14"/>
                <w:color w:val="auto"/>
              </w:rPr>
              <w:t>Past due and non-accrual retail loans</w:t>
            </w:r>
          </w:p>
        </w:tc>
        <w:tc>
          <w:tcPr>
            <w:tcW w:w="240" w:type="dxa"/>
            <w:vAlign w:val="bottom"/>
            <w:tcBorders>
              <w:bottom w:val="single" w:sz="8" w:color="auto"/>
            </w:tcBorders>
            <w:shd w:val="clear" w:color="auto" w:fill="E0E7ED"/>
          </w:tcPr>
          <w:p>
            <w:pPr>
              <w:spacing w:after="0"/>
              <w:rPr>
                <w:sz w:val="17"/>
                <w:szCs w:val="17"/>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5,236</w:t>
            </w:r>
          </w:p>
        </w:tc>
        <w:tc>
          <w:tcPr>
            <w:tcW w:w="60" w:type="dxa"/>
            <w:vAlign w:val="bottom"/>
            <w:tcBorders>
              <w:bottom w:val="single" w:sz="8" w:color="auto"/>
            </w:tcBorders>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40" w:type="dxa"/>
            <w:vAlign w:val="bottom"/>
            <w:tcBorders>
              <w:bottom w:val="single" w:sz="8" w:color="auto"/>
            </w:tcBorders>
            <w:shd w:val="clear" w:color="auto" w:fill="E0E7ED"/>
          </w:tcPr>
          <w:p>
            <w:pPr>
              <w:spacing w:after="0"/>
              <w:rPr>
                <w:sz w:val="17"/>
                <w:szCs w:val="17"/>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2,144</w:t>
            </w:r>
          </w:p>
        </w:tc>
        <w:tc>
          <w:tcPr>
            <w:tcW w:w="80" w:type="dxa"/>
            <w:vAlign w:val="bottom"/>
            <w:shd w:val="clear" w:color="auto" w:fill="E0E7ED"/>
          </w:tcPr>
          <w:p>
            <w:pPr>
              <w:spacing w:after="0"/>
              <w:rPr>
                <w:sz w:val="17"/>
                <w:szCs w:val="17"/>
                <w:color w:val="auto"/>
              </w:rPr>
            </w:pPr>
          </w:p>
        </w:tc>
        <w:tc>
          <w:tcPr>
            <w:tcW w:w="100" w:type="dxa"/>
            <w:vAlign w:val="bottom"/>
            <w:tcBorders>
              <w:bottom w:val="single" w:sz="8" w:color="auto"/>
            </w:tcBorders>
            <w:shd w:val="clear" w:color="auto" w:fill="E0E7ED"/>
          </w:tcPr>
          <w:p>
            <w:pPr>
              <w:spacing w:after="0"/>
              <w:rPr>
                <w:sz w:val="17"/>
                <w:szCs w:val="17"/>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5,210</w:t>
            </w:r>
          </w:p>
        </w:tc>
        <w:tc>
          <w:tcPr>
            <w:tcW w:w="80" w:type="dxa"/>
            <w:vAlign w:val="bottom"/>
            <w:shd w:val="clear" w:color="auto" w:fill="E0E7ED"/>
          </w:tcPr>
          <w:p>
            <w:pPr>
              <w:spacing w:after="0"/>
              <w:rPr>
                <w:sz w:val="17"/>
                <w:szCs w:val="17"/>
                <w:color w:val="auto"/>
              </w:rPr>
            </w:pPr>
          </w:p>
        </w:tc>
        <w:tc>
          <w:tcPr>
            <w:tcW w:w="220" w:type="dxa"/>
            <w:vAlign w:val="bottom"/>
            <w:tcBorders>
              <w:bottom w:val="single" w:sz="8" w:color="auto"/>
            </w:tcBorders>
            <w:shd w:val="clear" w:color="auto" w:fill="E0E7ED"/>
          </w:tcPr>
          <w:p>
            <w:pPr>
              <w:spacing w:after="0"/>
              <w:rPr>
                <w:sz w:val="17"/>
                <w:szCs w:val="17"/>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2,724</w:t>
            </w:r>
          </w:p>
        </w:tc>
        <w:tc>
          <w:tcPr>
            <w:tcW w:w="100" w:type="dxa"/>
            <w:vAlign w:val="bottom"/>
            <w:shd w:val="clear" w:color="auto" w:fill="E0E7ED"/>
          </w:tcPr>
          <w:p>
            <w:pPr>
              <w:spacing w:after="0"/>
              <w:rPr>
                <w:sz w:val="17"/>
                <w:szCs w:val="17"/>
                <w:color w:val="auto"/>
              </w:rPr>
            </w:pPr>
          </w:p>
        </w:tc>
        <w:tc>
          <w:tcPr>
            <w:tcW w:w="280" w:type="dxa"/>
            <w:vAlign w:val="bottom"/>
            <w:tcBorders>
              <w:bottom w:val="single" w:sz="8" w:color="auto"/>
            </w:tcBorders>
            <w:shd w:val="clear" w:color="auto" w:fill="E0E7ED"/>
          </w:tcPr>
          <w:p>
            <w:pPr>
              <w:spacing w:after="0"/>
              <w:rPr>
                <w:sz w:val="17"/>
                <w:szCs w:val="17"/>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12"/>
        </w:trPr>
        <w:tc>
          <w:tcPr>
            <w:tcW w:w="4140" w:type="dxa"/>
            <w:vAlign w:val="bottom"/>
          </w:tcPr>
          <w:p>
            <w:pPr>
              <w:ind w:left="20"/>
              <w:spacing w:after="0"/>
              <w:rPr>
                <w:sz w:val="20"/>
                <w:szCs w:val="20"/>
                <w:color w:val="auto"/>
              </w:rPr>
            </w:pPr>
            <w:r>
              <w:rPr>
                <w:rFonts w:ascii="Arial" w:cs="Arial" w:eastAsia="Arial" w:hAnsi="Arial"/>
                <w:sz w:val="14"/>
                <w:szCs w:val="14"/>
                <w:color w:val="auto"/>
              </w:rPr>
              <w:t>Total past due and non-accrual loans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8,901</w:t>
            </w: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9,653</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6,077</w:t>
            </w:r>
          </w:p>
        </w:tc>
        <w:tc>
          <w:tcPr>
            <w:tcW w:w="80" w:type="dxa"/>
            <w:vAlign w:val="bottom"/>
          </w:tcPr>
          <w:p>
            <w:pPr>
              <w:spacing w:after="0"/>
              <w:rPr>
                <w:sz w:val="18"/>
                <w:szCs w:val="18"/>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48,647</w:t>
            </w:r>
          </w:p>
        </w:tc>
        <w:tc>
          <w:tcPr>
            <w:tcW w:w="100" w:type="dxa"/>
            <w:vAlign w:val="bottom"/>
          </w:tcPr>
          <w:p>
            <w:pPr>
              <w:spacing w:after="0"/>
              <w:rPr>
                <w:sz w:val="18"/>
                <w:szCs w:val="18"/>
                <w:color w:val="auto"/>
              </w:rPr>
            </w:pPr>
          </w:p>
        </w:tc>
        <w:tc>
          <w:tcPr>
            <w:tcW w:w="280" w:type="dxa"/>
            <w:vAlign w:val="bottom"/>
          </w:tcPr>
          <w:p>
            <w:pPr>
              <w:jc w:val="right"/>
              <w:ind w:right="136"/>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gridSpan w:val="6"/>
          </w:tcPr>
          <w:p>
            <w:pPr>
              <w:jc w:val="center"/>
              <w:spacing w:after="0"/>
              <w:rPr>
                <w:sz w:val="20"/>
                <w:szCs w:val="20"/>
                <w:color w:val="auto"/>
              </w:rPr>
            </w:pPr>
            <w:r>
              <w:rPr>
                <w:rFonts w:ascii="Arial" w:cs="Arial" w:eastAsia="Arial" w:hAnsi="Arial"/>
                <w:sz w:val="11"/>
                <w:szCs w:val="11"/>
                <w:b w:val="1"/>
                <w:bCs w:val="1"/>
                <w:color w:val="auto"/>
              </w:rPr>
              <w:t>Loans past due, still accruing</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center"/>
              <w:spacing w:after="0"/>
              <w:rPr>
                <w:sz w:val="20"/>
                <w:szCs w:val="20"/>
                <w:color w:val="auto"/>
              </w:rPr>
            </w:pPr>
            <w:r>
              <w:rPr>
                <w:rFonts w:ascii="Arial" w:cs="Arial" w:eastAsia="Arial" w:hAnsi="Arial"/>
                <w:sz w:val="11"/>
                <w:szCs w:val="11"/>
                <w:b w:val="1"/>
                <w:bCs w:val="1"/>
                <w:color w:val="auto"/>
              </w:rPr>
              <w:t>Non-accrual Loans with</w:t>
            </w:r>
          </w:p>
        </w:tc>
        <w:tc>
          <w:tcPr>
            <w:tcW w:w="0" w:type="dxa"/>
            <w:vAlign w:val="bottom"/>
          </w:tcPr>
          <w:p>
            <w:pPr>
              <w:spacing w:after="0"/>
              <w:rPr>
                <w:sz w:val="1"/>
                <w:szCs w:val="1"/>
                <w:color w:val="auto"/>
              </w:rPr>
            </w:pPr>
          </w:p>
        </w:tc>
      </w:tr>
      <w:tr>
        <w:trPr>
          <w:trHeight w:val="32"/>
        </w:trPr>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vMerge w:val="restart"/>
          </w:tcPr>
          <w:p>
            <w:pPr>
              <w:jc w:val="center"/>
              <w:ind w:right="300"/>
              <w:spacing w:after="0" w:line="96" w:lineRule="exact"/>
              <w:rPr>
                <w:sz w:val="20"/>
                <w:szCs w:val="20"/>
                <w:color w:val="auto"/>
              </w:rPr>
            </w:pPr>
            <w:r>
              <w:rPr>
                <w:rFonts w:ascii="Arial" w:cs="Arial" w:eastAsia="Arial" w:hAnsi="Arial"/>
                <w:sz w:val="11"/>
                <w:szCs w:val="11"/>
                <w:b w:val="1"/>
                <w:bCs w:val="1"/>
                <w:color w:val="auto"/>
              </w:rPr>
              <w:t>Non-accrual</w:t>
            </w:r>
          </w:p>
        </w:tc>
        <w:tc>
          <w:tcPr>
            <w:tcW w:w="1360" w:type="dxa"/>
            <w:vAlign w:val="bottom"/>
            <w:gridSpan w:val="2"/>
            <w:vMerge w:val="restart"/>
          </w:tcPr>
          <w:p>
            <w:pPr>
              <w:jc w:val="center"/>
              <w:spacing w:after="0" w:line="96" w:lineRule="exact"/>
              <w:rPr>
                <w:sz w:val="20"/>
                <w:szCs w:val="20"/>
                <w:color w:val="auto"/>
              </w:rPr>
            </w:pPr>
            <w:r>
              <w:rPr>
                <w:rFonts w:ascii="Arial" w:cs="Arial" w:eastAsia="Arial" w:hAnsi="Arial"/>
                <w:sz w:val="11"/>
                <w:szCs w:val="11"/>
                <w:b w:val="1"/>
                <w:bCs w:val="1"/>
                <w:color w:val="auto"/>
              </w:rPr>
              <w:t>No Allowance for Credit</w:t>
            </w:r>
          </w:p>
        </w:tc>
        <w:tc>
          <w:tcPr>
            <w:tcW w:w="0" w:type="dxa"/>
            <w:vAlign w:val="bottom"/>
          </w:tcPr>
          <w:p>
            <w:pPr>
              <w:spacing w:after="0"/>
              <w:rPr>
                <w:sz w:val="1"/>
                <w:szCs w:val="1"/>
                <w:color w:val="auto"/>
              </w:rPr>
            </w:pPr>
          </w:p>
        </w:tc>
      </w:tr>
      <w:tr>
        <w:trPr>
          <w:trHeight w:val="44"/>
        </w:trPr>
        <w:tc>
          <w:tcPr>
            <w:tcW w:w="414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40" w:type="dxa"/>
            <w:vAlign w:val="bottom"/>
          </w:tcPr>
          <w:p>
            <w:pPr>
              <w:spacing w:after="0"/>
              <w:rPr>
                <w:sz w:val="3"/>
                <w:szCs w:val="3"/>
                <w:color w:val="auto"/>
              </w:rPr>
            </w:pPr>
          </w:p>
        </w:tc>
        <w:tc>
          <w:tcPr>
            <w:tcW w:w="1060" w:type="dxa"/>
            <w:vAlign w:val="bottom"/>
            <w:vMerge w:val="restart"/>
          </w:tcPr>
          <w:p>
            <w:pPr>
              <w:jc w:val="right"/>
              <w:ind w:right="271"/>
              <w:spacing w:after="0"/>
              <w:rPr>
                <w:sz w:val="20"/>
                <w:szCs w:val="20"/>
                <w:color w:val="auto"/>
              </w:rPr>
            </w:pPr>
            <w:r>
              <w:rPr>
                <w:rFonts w:ascii="Arial" w:cs="Arial" w:eastAsia="Arial" w:hAnsi="Arial"/>
                <w:sz w:val="11"/>
                <w:szCs w:val="11"/>
                <w:b w:val="1"/>
                <w:bCs w:val="1"/>
                <w:color w:val="auto"/>
              </w:rPr>
              <w:t>30-59 Days</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rPr>
              <w:t>60-89 Days</w:t>
            </w:r>
          </w:p>
        </w:tc>
        <w:tc>
          <w:tcPr>
            <w:tcW w:w="100" w:type="dxa"/>
            <w:vAlign w:val="bottom"/>
          </w:tcPr>
          <w:p>
            <w:pPr>
              <w:spacing w:after="0"/>
              <w:rPr>
                <w:sz w:val="3"/>
                <w:szCs w:val="3"/>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90+Days</w:t>
            </w: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4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Loans</w:t>
            </w:r>
          </w:p>
        </w:tc>
        <w:tc>
          <w:tcPr>
            <w:tcW w:w="280" w:type="dxa"/>
            <w:vAlign w:val="bottom"/>
          </w:tcPr>
          <w:p>
            <w:pPr>
              <w:spacing w:after="0"/>
              <w:rPr>
                <w:sz w:val="11"/>
                <w:szCs w:val="11"/>
                <w:color w:val="auto"/>
              </w:rPr>
            </w:pPr>
          </w:p>
        </w:tc>
        <w:tc>
          <w:tcPr>
            <w:tcW w:w="1080" w:type="dxa"/>
            <w:vAlign w:val="bottom"/>
          </w:tcPr>
          <w:p>
            <w:pPr>
              <w:jc w:val="center"/>
              <w:ind w:right="211"/>
              <w:spacing w:after="0"/>
              <w:rPr>
                <w:sz w:val="20"/>
                <w:szCs w:val="20"/>
                <w:color w:val="auto"/>
              </w:rPr>
            </w:pPr>
            <w:r>
              <w:rPr>
                <w:rFonts w:ascii="Arial" w:cs="Arial" w:eastAsia="Arial" w:hAnsi="Arial"/>
                <w:sz w:val="11"/>
                <w:szCs w:val="11"/>
                <w:b w:val="1"/>
                <w:bCs w:val="1"/>
                <w:color w:val="auto"/>
              </w:rPr>
              <w:t>Losses</w:t>
            </w:r>
          </w:p>
        </w:tc>
        <w:tc>
          <w:tcPr>
            <w:tcW w:w="0" w:type="dxa"/>
            <w:vAlign w:val="bottom"/>
          </w:tcPr>
          <w:p>
            <w:pPr>
              <w:spacing w:after="0"/>
              <w:rPr>
                <w:sz w:val="1"/>
                <w:szCs w:val="1"/>
                <w:color w:val="auto"/>
              </w:rPr>
            </w:pPr>
          </w:p>
        </w:tc>
      </w:tr>
      <w:tr>
        <w:trPr>
          <w:trHeight w:val="192"/>
        </w:trPr>
        <w:tc>
          <w:tcPr>
            <w:tcW w:w="414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Commercial loans</w:t>
            </w:r>
          </w:p>
        </w:tc>
        <w:tc>
          <w:tcPr>
            <w:tcW w:w="24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40" w:type="dxa"/>
            <w:vAlign w:val="bottom"/>
            <w:tcBorders>
              <w:top w:val="single" w:sz="8" w:color="auto"/>
            </w:tcBorders>
            <w:shd w:val="clear" w:color="auto" w:fill="E0E7ED"/>
          </w:tcPr>
          <w:p>
            <w:pPr>
              <w:spacing w:after="0"/>
              <w:rPr>
                <w:sz w:val="16"/>
                <w:szCs w:val="16"/>
                <w:color w:val="auto"/>
              </w:rPr>
            </w:pPr>
          </w:p>
        </w:tc>
        <w:tc>
          <w:tcPr>
            <w:tcW w:w="112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00" w:type="dxa"/>
            <w:vAlign w:val="bottom"/>
            <w:tcBorders>
              <w:top w:val="single" w:sz="8" w:color="auto"/>
            </w:tcBorders>
            <w:shd w:val="clear" w:color="auto" w:fill="E0E7ED"/>
          </w:tcPr>
          <w:p>
            <w:pPr>
              <w:spacing w:after="0"/>
              <w:rPr>
                <w:sz w:val="16"/>
                <w:szCs w:val="16"/>
                <w:color w:val="auto"/>
              </w:rPr>
            </w:pPr>
          </w:p>
        </w:tc>
        <w:tc>
          <w:tcPr>
            <w:tcW w:w="12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4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95</w:t>
            </w: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3,852</w:t>
            </w:r>
          </w:p>
        </w:tc>
        <w:tc>
          <w:tcPr>
            <w:tcW w:w="100" w:type="dxa"/>
            <w:vAlign w:val="bottom"/>
          </w:tcPr>
          <w:p>
            <w:pPr>
              <w:spacing w:after="0"/>
              <w:rPr>
                <w:sz w:val="17"/>
                <w:szCs w:val="17"/>
                <w:color w:val="auto"/>
              </w:rPr>
            </w:pPr>
          </w:p>
        </w:tc>
        <w:tc>
          <w:tcPr>
            <w:tcW w:w="280" w:type="dxa"/>
            <w:vAlign w:val="bottom"/>
          </w:tcPr>
          <w:p>
            <w:pPr>
              <w:jc w:val="right"/>
              <w:ind w:right="136"/>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22"/>
        </w:trPr>
        <w:tc>
          <w:tcPr>
            <w:tcW w:w="41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24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42</w:t>
            </w:r>
          </w:p>
        </w:tc>
        <w:tc>
          <w:tcPr>
            <w:tcW w:w="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2,759</w:t>
            </w:r>
          </w:p>
        </w:tc>
        <w:tc>
          <w:tcPr>
            <w:tcW w:w="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34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15,053</w:t>
            </w:r>
          </w:p>
        </w:tc>
        <w:tc>
          <w:tcPr>
            <w:tcW w:w="10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Real estate construction</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140" w:type="dxa"/>
            <w:vAlign w:val="bottom"/>
            <w:shd w:val="clear" w:color="auto" w:fill="E0E7ED"/>
          </w:tcPr>
          <w:p>
            <w:pPr>
              <w:ind w:left="20"/>
              <w:spacing w:after="0"/>
              <w:rPr>
                <w:sz w:val="20"/>
                <w:szCs w:val="20"/>
                <w:color w:val="auto"/>
              </w:rPr>
            </w:pPr>
            <w:r>
              <w:rPr>
                <w:rFonts w:ascii="Arial" w:cs="Arial" w:eastAsia="Arial" w:hAnsi="Arial"/>
                <w:sz w:val="14"/>
                <w:szCs w:val="14"/>
                <w:color w:val="auto"/>
              </w:rPr>
              <w:t>Past due and non-accrual commercial loans</w:t>
            </w:r>
          </w:p>
        </w:tc>
        <w:tc>
          <w:tcPr>
            <w:tcW w:w="24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178</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2,759</w:t>
            </w:r>
          </w:p>
        </w:tc>
        <w:tc>
          <w:tcPr>
            <w:tcW w:w="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34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18,928</w:t>
            </w:r>
          </w:p>
        </w:tc>
        <w:tc>
          <w:tcPr>
            <w:tcW w:w="10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16,224</w:t>
            </w: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Retail loans</w:t>
            </w: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Retail real estate</w:t>
            </w:r>
          </w:p>
        </w:tc>
        <w:tc>
          <w:tcPr>
            <w:tcW w:w="24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3,280</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683</w:t>
            </w:r>
          </w:p>
        </w:tc>
        <w:tc>
          <w:tcPr>
            <w:tcW w:w="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1,115</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2,984</w:t>
            </w:r>
          </w:p>
        </w:tc>
        <w:tc>
          <w:tcPr>
            <w:tcW w:w="10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Retail other</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bottom w:val="single" w:sz="8" w:color="E0E7E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E0E7ED"/>
          </w:tcPr>
          <w:p>
            <w:pPr>
              <w:ind w:left="20"/>
              <w:spacing w:after="0"/>
              <w:rPr>
                <w:sz w:val="20"/>
                <w:szCs w:val="20"/>
                <w:color w:val="auto"/>
              </w:rPr>
            </w:pPr>
            <w:r>
              <w:rPr>
                <w:rFonts w:ascii="Arial" w:cs="Arial" w:eastAsia="Arial" w:hAnsi="Arial"/>
                <w:sz w:val="14"/>
                <w:szCs w:val="14"/>
                <w:color w:val="auto"/>
              </w:rPr>
              <w:t>Past due and non-accrual retail loans</w:t>
            </w:r>
          </w:p>
        </w:tc>
        <w:tc>
          <w:tcPr>
            <w:tcW w:w="240" w:type="dxa"/>
            <w:vAlign w:val="bottom"/>
            <w:tcBorders>
              <w:bottom w:val="single" w:sz="8" w:color="auto"/>
            </w:tcBorders>
            <w:shd w:val="clear" w:color="auto" w:fill="E0E7ED"/>
          </w:tcPr>
          <w:p>
            <w:pPr>
              <w:spacing w:after="0"/>
              <w:rPr>
                <w:sz w:val="17"/>
                <w:szCs w:val="17"/>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4,374</w:t>
            </w:r>
          </w:p>
        </w:tc>
        <w:tc>
          <w:tcPr>
            <w:tcW w:w="60" w:type="dxa"/>
            <w:vAlign w:val="bottom"/>
            <w:tcBorders>
              <w:bottom w:val="single" w:sz="8" w:color="auto"/>
            </w:tcBorders>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40" w:type="dxa"/>
            <w:vAlign w:val="bottom"/>
            <w:tcBorders>
              <w:bottom w:val="single" w:sz="8" w:color="auto"/>
            </w:tcBorders>
            <w:shd w:val="clear" w:color="auto" w:fill="E0E7ED"/>
          </w:tcPr>
          <w:p>
            <w:pPr>
              <w:spacing w:after="0"/>
              <w:rPr>
                <w:sz w:val="17"/>
                <w:szCs w:val="17"/>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813</w:t>
            </w:r>
          </w:p>
        </w:tc>
        <w:tc>
          <w:tcPr>
            <w:tcW w:w="80" w:type="dxa"/>
            <w:vAlign w:val="bottom"/>
            <w:shd w:val="clear" w:color="auto" w:fill="E0E7ED"/>
          </w:tcPr>
          <w:p>
            <w:pPr>
              <w:spacing w:after="0"/>
              <w:rPr>
                <w:sz w:val="17"/>
                <w:szCs w:val="17"/>
                <w:color w:val="auto"/>
              </w:rPr>
            </w:pPr>
          </w:p>
        </w:tc>
        <w:tc>
          <w:tcPr>
            <w:tcW w:w="100" w:type="dxa"/>
            <w:vAlign w:val="bottom"/>
            <w:tcBorders>
              <w:bottom w:val="single" w:sz="8" w:color="auto"/>
            </w:tcBorders>
            <w:shd w:val="clear" w:color="auto" w:fill="E0E7ED"/>
          </w:tcPr>
          <w:p>
            <w:pPr>
              <w:spacing w:after="0"/>
              <w:rPr>
                <w:sz w:val="17"/>
                <w:szCs w:val="17"/>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1,149</w:t>
            </w:r>
          </w:p>
        </w:tc>
        <w:tc>
          <w:tcPr>
            <w:tcW w:w="80" w:type="dxa"/>
            <w:vAlign w:val="bottom"/>
            <w:shd w:val="clear" w:color="auto" w:fill="E0E7ED"/>
          </w:tcPr>
          <w:p>
            <w:pPr>
              <w:spacing w:after="0"/>
              <w:rPr>
                <w:sz w:val="17"/>
                <w:szCs w:val="17"/>
                <w:color w:val="auto"/>
              </w:rPr>
            </w:pPr>
          </w:p>
        </w:tc>
        <w:tc>
          <w:tcPr>
            <w:tcW w:w="220" w:type="dxa"/>
            <w:vAlign w:val="bottom"/>
            <w:tcBorders>
              <w:bottom w:val="single" w:sz="8" w:color="auto"/>
            </w:tcBorders>
            <w:shd w:val="clear" w:color="auto" w:fill="E0E7ED"/>
          </w:tcPr>
          <w:p>
            <w:pPr>
              <w:spacing w:after="0"/>
              <w:rPr>
                <w:sz w:val="17"/>
                <w:szCs w:val="17"/>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3,160</w:t>
            </w:r>
          </w:p>
        </w:tc>
        <w:tc>
          <w:tcPr>
            <w:tcW w:w="100" w:type="dxa"/>
            <w:vAlign w:val="bottom"/>
            <w:shd w:val="clear" w:color="auto" w:fill="E0E7ED"/>
          </w:tcPr>
          <w:p>
            <w:pPr>
              <w:spacing w:after="0"/>
              <w:rPr>
                <w:sz w:val="17"/>
                <w:szCs w:val="17"/>
                <w:color w:val="auto"/>
              </w:rPr>
            </w:pPr>
          </w:p>
        </w:tc>
        <w:tc>
          <w:tcPr>
            <w:tcW w:w="280" w:type="dxa"/>
            <w:vAlign w:val="bottom"/>
            <w:tcBorders>
              <w:bottom w:val="single" w:sz="8" w:color="auto"/>
            </w:tcBorders>
            <w:shd w:val="clear" w:color="auto" w:fill="E0E7ED"/>
          </w:tcPr>
          <w:p>
            <w:pPr>
              <w:spacing w:after="0"/>
              <w:rPr>
                <w:sz w:val="17"/>
                <w:szCs w:val="17"/>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12"/>
        </w:trPr>
        <w:tc>
          <w:tcPr>
            <w:tcW w:w="4140" w:type="dxa"/>
            <w:vAlign w:val="bottom"/>
          </w:tcPr>
          <w:p>
            <w:pPr>
              <w:ind w:left="20"/>
              <w:spacing w:after="0"/>
              <w:rPr>
                <w:sz w:val="20"/>
                <w:szCs w:val="20"/>
                <w:color w:val="auto"/>
              </w:rPr>
            </w:pPr>
            <w:r>
              <w:rPr>
                <w:rFonts w:ascii="Arial" w:cs="Arial" w:eastAsia="Arial" w:hAnsi="Arial"/>
                <w:sz w:val="14"/>
                <w:szCs w:val="14"/>
                <w:color w:val="auto"/>
              </w:rPr>
              <w:t>Total past due and non-accrual loans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4,552</w:t>
            </w: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3,572</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1,149</w:t>
            </w:r>
          </w:p>
        </w:tc>
        <w:tc>
          <w:tcPr>
            <w:tcW w:w="80" w:type="dxa"/>
            <w:vAlign w:val="bottom"/>
          </w:tcPr>
          <w:p>
            <w:pPr>
              <w:spacing w:after="0"/>
              <w:rPr>
                <w:sz w:val="18"/>
                <w:szCs w:val="18"/>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22,088</w:t>
            </w:r>
          </w:p>
        </w:tc>
        <w:tc>
          <w:tcPr>
            <w:tcW w:w="100" w:type="dxa"/>
            <w:vAlign w:val="bottom"/>
          </w:tcPr>
          <w:p>
            <w:pPr>
              <w:spacing w:after="0"/>
              <w:rPr>
                <w:sz w:val="18"/>
                <w:szCs w:val="18"/>
                <w:color w:val="auto"/>
              </w:rPr>
            </w:pPr>
          </w:p>
        </w:tc>
        <w:tc>
          <w:tcPr>
            <w:tcW w:w="280" w:type="dxa"/>
            <w:vAlign w:val="bottom"/>
          </w:tcPr>
          <w:p>
            <w:pPr>
              <w:jc w:val="right"/>
              <w:ind w:right="136"/>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16,418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Gross interest income recorded on 90+ days past due loans, and that would have been recorded on non-accrual loans if they had been accruing interest in accordance with their original terms, was $0.2 million for the three months ended March 31, 2025, and was $0.3 million for the three months ended March 31, 2024. The amount of interest collected on those loans and recognized on a cash basis that was included in interest income was immaterial for the three months ended March 31, 2025 and 2024.</w:t>
      </w:r>
    </w:p>
    <w:p>
      <w:pPr>
        <w:spacing w:after="0" w:line="200" w:lineRule="exact"/>
        <w:rPr>
          <w:sz w:val="20"/>
          <w:szCs w:val="20"/>
          <w:color w:val="auto"/>
        </w:rPr>
      </w:pPr>
    </w:p>
    <w:p>
      <w:pPr>
        <w:spacing w:after="0" w:line="231" w:lineRule="exact"/>
        <w:rPr>
          <w:sz w:val="20"/>
          <w:szCs w:val="20"/>
          <w:color w:val="auto"/>
        </w:rPr>
      </w:pPr>
    </w:p>
    <w:p>
      <w:pPr>
        <w:ind w:left="9000"/>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Loan Modifications for Borrowers Experiencing Financial Difficulty</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following tables present the amortized cost basis of loans that were modified—specifically in the form of (1) principal forgiveness, (2) an interest rate reduction, (3) an other-than -insignificant payment deferral, and/or (4) a term extension—for borrowers experiencing financial difficulty during the periods indicated, disaggregated by lending activity and the type of modification: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1"/>
                <w:szCs w:val="11"/>
                <w:b w:val="1"/>
                <w:bCs w:val="1"/>
                <w:color w:val="auto"/>
              </w:rPr>
              <w:t>Three Months Ended March 31, 2025</w:t>
            </w: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42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20" w:type="dxa"/>
            <w:vAlign w:val="bottom"/>
          </w:tcPr>
          <w:p>
            <w:pPr>
              <w:spacing w:after="0"/>
              <w:rPr>
                <w:sz w:val="9"/>
                <w:szCs w:val="9"/>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1"/>
                <w:szCs w:val="11"/>
                <w:b w:val="1"/>
                <w:bCs w:val="1"/>
                <w:color w:val="auto"/>
              </w:rPr>
              <w:t>Payment Deferral</w:t>
            </w:r>
          </w:p>
        </w:tc>
        <w:tc>
          <w:tcPr>
            <w:tcW w:w="80" w:type="dxa"/>
            <w:vAlign w:val="bottom"/>
          </w:tcPr>
          <w:p>
            <w:pPr>
              <w:spacing w:after="0"/>
              <w:rPr>
                <w:sz w:val="9"/>
                <w:szCs w:val="9"/>
                <w:color w:val="auto"/>
              </w:rPr>
            </w:pPr>
          </w:p>
        </w:tc>
        <w:tc>
          <w:tcPr>
            <w:tcW w:w="1560" w:type="dxa"/>
            <w:vAlign w:val="bottom"/>
            <w:gridSpan w:val="2"/>
          </w:tcPr>
          <w:p>
            <w:pPr>
              <w:jc w:val="center"/>
              <w:ind w:right="80"/>
              <w:spacing w:after="0" w:line="107" w:lineRule="exact"/>
              <w:rPr>
                <w:sz w:val="20"/>
                <w:szCs w:val="20"/>
                <w:color w:val="auto"/>
              </w:rPr>
            </w:pPr>
            <w:r>
              <w:rPr>
                <w:rFonts w:ascii="Arial" w:cs="Arial" w:eastAsia="Arial" w:hAnsi="Arial"/>
                <w:sz w:val="11"/>
                <w:szCs w:val="11"/>
                <w:b w:val="1"/>
                <w:bCs w:val="1"/>
                <w:color w:val="auto"/>
              </w:rPr>
              <w:t>% of Total Class of</w:t>
            </w:r>
          </w:p>
        </w:tc>
        <w:tc>
          <w:tcPr>
            <w:tcW w:w="160" w:type="dxa"/>
            <w:vAlign w:val="bottom"/>
          </w:tcPr>
          <w:p>
            <w:pPr>
              <w:spacing w:after="0"/>
              <w:rPr>
                <w:sz w:val="9"/>
                <w:szCs w:val="9"/>
                <w:color w:val="auto"/>
              </w:rPr>
            </w:pPr>
          </w:p>
        </w:tc>
        <w:tc>
          <w:tcPr>
            <w:tcW w:w="1180" w:type="dxa"/>
            <w:vAlign w:val="bottom"/>
            <w:vMerge w:val="restart"/>
          </w:tcPr>
          <w:p>
            <w:pPr>
              <w:jc w:val="right"/>
              <w:ind w:right="172"/>
              <w:spacing w:after="0"/>
              <w:rPr>
                <w:sz w:val="20"/>
                <w:szCs w:val="20"/>
                <w:color w:val="auto"/>
              </w:rPr>
            </w:pPr>
            <w:r>
              <w:rPr>
                <w:rFonts w:ascii="Arial" w:cs="Arial" w:eastAsia="Arial" w:hAnsi="Arial"/>
                <w:sz w:val="11"/>
                <w:szCs w:val="11"/>
                <w:b w:val="1"/>
                <w:bCs w:val="1"/>
                <w:color w:val="auto"/>
              </w:rPr>
              <w:t>Term Extension</w:t>
            </w:r>
          </w:p>
        </w:tc>
        <w:tc>
          <w:tcPr>
            <w:tcW w:w="80" w:type="dxa"/>
            <w:vAlign w:val="bottom"/>
          </w:tcPr>
          <w:p>
            <w:pPr>
              <w:spacing w:after="0"/>
              <w:rPr>
                <w:sz w:val="9"/>
                <w:szCs w:val="9"/>
                <w:color w:val="auto"/>
              </w:rPr>
            </w:pPr>
          </w:p>
        </w:tc>
        <w:tc>
          <w:tcPr>
            <w:tcW w:w="14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 of Total Class of</w:t>
            </w:r>
          </w:p>
        </w:tc>
        <w:tc>
          <w:tcPr>
            <w:tcW w:w="0" w:type="dxa"/>
            <w:vAlign w:val="bottom"/>
          </w:tcPr>
          <w:p>
            <w:pPr>
              <w:spacing w:after="0"/>
              <w:rPr>
                <w:sz w:val="1"/>
                <w:szCs w:val="1"/>
                <w:color w:val="auto"/>
              </w:rPr>
            </w:pPr>
          </w:p>
        </w:tc>
      </w:tr>
      <w:tr>
        <w:trPr>
          <w:trHeight w:val="138"/>
        </w:trPr>
        <w:tc>
          <w:tcPr>
            <w:tcW w:w="5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Financing Receivable</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Financing Receivable</w:t>
            </w:r>
          </w:p>
        </w:tc>
        <w:tc>
          <w:tcPr>
            <w:tcW w:w="0" w:type="dxa"/>
            <w:vAlign w:val="bottom"/>
          </w:tcPr>
          <w:p>
            <w:pPr>
              <w:spacing w:after="0"/>
              <w:rPr>
                <w:sz w:val="1"/>
                <w:szCs w:val="1"/>
                <w:color w:val="auto"/>
              </w:rPr>
            </w:pPr>
          </w:p>
        </w:tc>
      </w:tr>
      <w:tr>
        <w:trPr>
          <w:trHeight w:val="192"/>
        </w:trPr>
        <w:tc>
          <w:tcPr>
            <w:tcW w:w="5420" w:type="dxa"/>
            <w:vAlign w:val="bottom"/>
            <w:tcBorders>
              <w:top w:val="single" w:sz="8" w:color="E0E7ED"/>
            </w:tcBorders>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Modified Loans</w:t>
            </w:r>
          </w:p>
        </w:tc>
        <w:tc>
          <w:tcPr>
            <w:tcW w:w="120" w:type="dxa"/>
            <w:vAlign w:val="bottom"/>
            <w:tcBorders>
              <w:top w:val="single" w:sz="8" w:color="auto"/>
            </w:tcBorders>
            <w:shd w:val="clear" w:color="auto" w:fill="E0E7ED"/>
          </w:tcPr>
          <w:p>
            <w:pPr>
              <w:spacing w:after="0"/>
              <w:rPr>
                <w:sz w:val="16"/>
                <w:szCs w:val="16"/>
                <w:color w:val="auto"/>
              </w:rPr>
            </w:pPr>
          </w:p>
        </w:tc>
        <w:tc>
          <w:tcPr>
            <w:tcW w:w="120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4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60" w:type="dxa"/>
            <w:vAlign w:val="bottom"/>
            <w:tcBorders>
              <w:top w:val="single" w:sz="8" w:color="auto"/>
            </w:tcBorders>
            <w:shd w:val="clear" w:color="auto" w:fill="E0E7ED"/>
          </w:tcPr>
          <w:p>
            <w:pPr>
              <w:spacing w:after="0"/>
              <w:rPr>
                <w:sz w:val="16"/>
                <w:szCs w:val="16"/>
                <w:color w:val="auto"/>
              </w:rPr>
            </w:pPr>
          </w:p>
        </w:tc>
        <w:tc>
          <w:tcPr>
            <w:tcW w:w="11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48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20" w:type="dxa"/>
            <w:vAlign w:val="bottom"/>
            <w:gridSpan w:val="2"/>
          </w:tcPr>
          <w:p>
            <w:pPr>
              <w:ind w:left="140"/>
              <w:spacing w:after="0"/>
              <w:rPr>
                <w:sz w:val="20"/>
                <w:szCs w:val="20"/>
                <w:color w:val="auto"/>
              </w:rPr>
            </w:pPr>
            <w:r>
              <w:rPr>
                <w:rFonts w:ascii="Arial" w:cs="Arial" w:eastAsia="Arial" w:hAnsi="Arial"/>
                <w:sz w:val="14"/>
                <w:szCs w:val="14"/>
                <w:color w:val="auto"/>
              </w:rPr>
              <w:t>C&amp;I and other commercial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10,832</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0.2 %</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21,923</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222"/>
        </w:trPr>
        <w:tc>
          <w:tcPr>
            <w:tcW w:w="54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120" w:type="dxa"/>
            <w:vAlign w:val="bottom"/>
            <w:shd w:val="clear" w:color="auto" w:fill="E0E7ED"/>
          </w:tcPr>
          <w:p>
            <w:pPr>
              <w:spacing w:after="0"/>
              <w:rPr>
                <w:sz w:val="19"/>
                <w:szCs w:val="19"/>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9"/>
                <w:szCs w:val="19"/>
                <w:color w:val="auto"/>
              </w:rPr>
            </w:pPr>
          </w:p>
        </w:tc>
        <w:tc>
          <w:tcPr>
            <w:tcW w:w="1560" w:type="dxa"/>
            <w:vAlign w:val="bottom"/>
            <w:gridSpan w:val="2"/>
            <w:shd w:val="clear" w:color="auto" w:fill="E0E7ED"/>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4,719</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203"/>
        </w:trPr>
        <w:tc>
          <w:tcPr>
            <w:tcW w:w="5420" w:type="dxa"/>
            <w:vAlign w:val="bottom"/>
            <w:tcBorders>
              <w:bottom w:val="single" w:sz="8" w:color="E0E7ED"/>
            </w:tcBorders>
            <w:gridSpan w:val="2"/>
          </w:tcPr>
          <w:p>
            <w:pPr>
              <w:ind w:left="140"/>
              <w:spacing w:after="0"/>
              <w:rPr>
                <w:sz w:val="20"/>
                <w:szCs w:val="20"/>
                <w:color w:val="auto"/>
              </w:rPr>
            </w:pPr>
            <w:r>
              <w:rPr>
                <w:rFonts w:ascii="Arial" w:cs="Arial" w:eastAsia="Arial" w:hAnsi="Arial"/>
                <w:sz w:val="14"/>
                <w:szCs w:val="14"/>
                <w:color w:val="auto"/>
              </w:rPr>
              <w:t>Real estate construction</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7"/>
                <w:szCs w:val="17"/>
                <w:color w:val="auto"/>
              </w:rPr>
            </w:pPr>
          </w:p>
        </w:tc>
        <w:tc>
          <w:tcPr>
            <w:tcW w:w="1560" w:type="dxa"/>
            <w:vAlign w:val="bottom"/>
            <w:tcBorders>
              <w:bottom w:val="single" w:sz="8" w:color="E0E7ED"/>
            </w:tcBorders>
            <w:gridSpan w:val="2"/>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5,208</w:t>
            </w:r>
          </w:p>
        </w:tc>
        <w:tc>
          <w:tcPr>
            <w:tcW w:w="156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237"/>
        </w:trPr>
        <w:tc>
          <w:tcPr>
            <w:tcW w:w="542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4"/>
                <w:szCs w:val="14"/>
                <w:color w:val="auto"/>
              </w:rPr>
              <w:t>Total of loans modified during the period</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10,832</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4"/>
                <w:szCs w:val="14"/>
                <w:color w:val="auto"/>
              </w:rPr>
              <w:t>0.1 %</w:t>
            </w: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31,850</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20"/>
        </w:trPr>
        <w:tc>
          <w:tcPr>
            <w:tcW w:w="5400" w:type="dxa"/>
            <w:vAlign w:val="bottom"/>
            <w:tcBorders>
              <w:top w:val="single" w:sz="8" w:color="E0E7ED"/>
              <w:bottom w:val="single" w:sz="8" w:color="E0E7ED"/>
            </w:tcBorders>
            <w:vMerge w:val="restart"/>
          </w:tcPr>
          <w:p>
            <w:pPr>
              <w:spacing w:after="0"/>
              <w:rPr>
                <w:sz w:val="20"/>
                <w:szCs w:val="20"/>
                <w:color w:val="auto"/>
              </w:rPr>
            </w:pPr>
            <w:r>
              <w:rPr>
                <w:rFonts w:ascii="Arial" w:cs="Arial" w:eastAsia="Arial" w:hAnsi="Arial"/>
                <w:sz w:val="11"/>
                <w:szCs w:val="11"/>
                <w:color w:val="auto"/>
              </w:rPr>
              <w:t>___________________________________________</w:t>
            </w:r>
          </w:p>
        </w:tc>
        <w:tc>
          <w:tcPr>
            <w:tcW w:w="2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4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20" w:type="dxa"/>
            <w:vAlign w:val="bottom"/>
            <w:gridSpan w:val="2"/>
          </w:tcPr>
          <w:p>
            <w:pPr>
              <w:ind w:left="140"/>
              <w:spacing w:after="0"/>
              <w:rPr>
                <w:sz w:val="20"/>
                <w:szCs w:val="20"/>
                <w:color w:val="auto"/>
              </w:rPr>
            </w:pPr>
            <w:r>
              <w:rPr>
                <w:rFonts w:ascii="Arial" w:cs="Arial" w:eastAsia="Arial" w:hAnsi="Arial"/>
                <w:sz w:val="11"/>
                <w:szCs w:val="11"/>
                <w:color w:val="auto"/>
              </w:rPr>
              <w:t>1.   All modifications were for loans classified as substandard.</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5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1"/>
                <w:szCs w:val="11"/>
                <w:b w:val="1"/>
                <w:bCs w:val="1"/>
                <w:color w:val="auto"/>
              </w:rPr>
              <w:t>Three Months Ended March 31, 2024</w:t>
            </w: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42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20" w:type="dxa"/>
            <w:vAlign w:val="bottom"/>
          </w:tcPr>
          <w:p>
            <w:pPr>
              <w:spacing w:after="0"/>
              <w:rPr>
                <w:sz w:val="9"/>
                <w:szCs w:val="9"/>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1"/>
                <w:szCs w:val="11"/>
                <w:b w:val="1"/>
                <w:bCs w:val="1"/>
                <w:color w:val="auto"/>
              </w:rPr>
              <w:t>Payment Deferral</w:t>
            </w:r>
            <w:r>
              <w:rPr>
                <w:rFonts w:ascii="Arial" w:cs="Arial" w:eastAsia="Arial" w:hAnsi="Arial"/>
                <w:sz w:val="14"/>
                <w:szCs w:val="14"/>
                <w:b w:val="1"/>
                <w:bCs w:val="1"/>
                <w:color w:val="auto"/>
                <w:vertAlign w:val="superscript"/>
              </w:rPr>
              <w:t>1</w:t>
            </w:r>
          </w:p>
        </w:tc>
        <w:tc>
          <w:tcPr>
            <w:tcW w:w="80" w:type="dxa"/>
            <w:vAlign w:val="bottom"/>
          </w:tcPr>
          <w:p>
            <w:pPr>
              <w:spacing w:after="0"/>
              <w:rPr>
                <w:sz w:val="9"/>
                <w:szCs w:val="9"/>
                <w:color w:val="auto"/>
              </w:rPr>
            </w:pPr>
          </w:p>
        </w:tc>
        <w:tc>
          <w:tcPr>
            <w:tcW w:w="1560" w:type="dxa"/>
            <w:vAlign w:val="bottom"/>
            <w:gridSpan w:val="2"/>
          </w:tcPr>
          <w:p>
            <w:pPr>
              <w:jc w:val="center"/>
              <w:ind w:right="80"/>
              <w:spacing w:after="0" w:line="107" w:lineRule="exact"/>
              <w:rPr>
                <w:sz w:val="20"/>
                <w:szCs w:val="20"/>
                <w:color w:val="auto"/>
              </w:rPr>
            </w:pPr>
            <w:r>
              <w:rPr>
                <w:rFonts w:ascii="Arial" w:cs="Arial" w:eastAsia="Arial" w:hAnsi="Arial"/>
                <w:sz w:val="11"/>
                <w:szCs w:val="11"/>
                <w:b w:val="1"/>
                <w:bCs w:val="1"/>
                <w:color w:val="auto"/>
              </w:rPr>
              <w:t>% of Total Class of</w:t>
            </w:r>
          </w:p>
        </w:tc>
        <w:tc>
          <w:tcPr>
            <w:tcW w:w="160" w:type="dxa"/>
            <w:vAlign w:val="bottom"/>
          </w:tcPr>
          <w:p>
            <w:pPr>
              <w:spacing w:after="0"/>
              <w:rPr>
                <w:sz w:val="9"/>
                <w:szCs w:val="9"/>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1"/>
                <w:szCs w:val="11"/>
                <w:b w:val="1"/>
                <w:bCs w:val="1"/>
                <w:color w:val="auto"/>
              </w:rPr>
              <w:t>Term Extension</w:t>
            </w:r>
            <w:r>
              <w:rPr>
                <w:rFonts w:ascii="Arial" w:cs="Arial" w:eastAsia="Arial" w:hAnsi="Arial"/>
                <w:sz w:val="14"/>
                <w:szCs w:val="14"/>
                <w:b w:val="1"/>
                <w:bCs w:val="1"/>
                <w:color w:val="auto"/>
                <w:vertAlign w:val="superscript"/>
              </w:rPr>
              <w:t>2</w:t>
            </w:r>
          </w:p>
        </w:tc>
        <w:tc>
          <w:tcPr>
            <w:tcW w:w="80" w:type="dxa"/>
            <w:vAlign w:val="bottom"/>
          </w:tcPr>
          <w:p>
            <w:pPr>
              <w:spacing w:after="0"/>
              <w:rPr>
                <w:sz w:val="9"/>
                <w:szCs w:val="9"/>
                <w:color w:val="auto"/>
              </w:rPr>
            </w:pPr>
          </w:p>
        </w:tc>
        <w:tc>
          <w:tcPr>
            <w:tcW w:w="14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 of Total Class of</w:t>
            </w:r>
          </w:p>
        </w:tc>
        <w:tc>
          <w:tcPr>
            <w:tcW w:w="0" w:type="dxa"/>
            <w:vAlign w:val="bottom"/>
          </w:tcPr>
          <w:p>
            <w:pPr>
              <w:spacing w:after="0"/>
              <w:rPr>
                <w:sz w:val="1"/>
                <w:szCs w:val="1"/>
                <w:color w:val="auto"/>
              </w:rPr>
            </w:pPr>
          </w:p>
        </w:tc>
      </w:tr>
      <w:tr>
        <w:trPr>
          <w:trHeight w:val="138"/>
        </w:trPr>
        <w:tc>
          <w:tcPr>
            <w:tcW w:w="5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Financing Receivable</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Financing Receivable</w:t>
            </w:r>
          </w:p>
        </w:tc>
        <w:tc>
          <w:tcPr>
            <w:tcW w:w="0" w:type="dxa"/>
            <w:vAlign w:val="bottom"/>
          </w:tcPr>
          <w:p>
            <w:pPr>
              <w:spacing w:after="0"/>
              <w:rPr>
                <w:sz w:val="1"/>
                <w:szCs w:val="1"/>
                <w:color w:val="auto"/>
              </w:rPr>
            </w:pPr>
          </w:p>
        </w:tc>
      </w:tr>
      <w:tr>
        <w:trPr>
          <w:trHeight w:val="192"/>
        </w:trPr>
        <w:tc>
          <w:tcPr>
            <w:tcW w:w="54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Modified Loans</w:t>
            </w:r>
          </w:p>
        </w:tc>
        <w:tc>
          <w:tcPr>
            <w:tcW w:w="20" w:type="dxa"/>
            <w:vAlign w:val="bottom"/>
            <w:tcBorders>
              <w:top w:val="single" w:sz="8" w:color="auto"/>
            </w:tcBorders>
            <w:shd w:val="clear" w:color="auto" w:fill="E0E7ED"/>
          </w:tcPr>
          <w:p>
            <w:pPr>
              <w:spacing w:after="0"/>
              <w:rPr>
                <w:sz w:val="16"/>
                <w:szCs w:val="16"/>
                <w:color w:val="auto"/>
              </w:rPr>
            </w:pPr>
          </w:p>
        </w:tc>
        <w:tc>
          <w:tcPr>
            <w:tcW w:w="120" w:type="dxa"/>
            <w:vAlign w:val="bottom"/>
            <w:tcBorders>
              <w:top w:val="single" w:sz="8" w:color="auto"/>
            </w:tcBorders>
            <w:shd w:val="clear" w:color="auto" w:fill="E0E7ED"/>
          </w:tcPr>
          <w:p>
            <w:pPr>
              <w:spacing w:after="0"/>
              <w:rPr>
                <w:sz w:val="16"/>
                <w:szCs w:val="16"/>
                <w:color w:val="auto"/>
              </w:rPr>
            </w:pPr>
          </w:p>
        </w:tc>
        <w:tc>
          <w:tcPr>
            <w:tcW w:w="120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4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60" w:type="dxa"/>
            <w:vAlign w:val="bottom"/>
            <w:tcBorders>
              <w:top w:val="single" w:sz="8" w:color="auto"/>
            </w:tcBorders>
            <w:shd w:val="clear" w:color="auto" w:fill="E0E7ED"/>
          </w:tcPr>
          <w:p>
            <w:pPr>
              <w:spacing w:after="0"/>
              <w:rPr>
                <w:sz w:val="16"/>
                <w:szCs w:val="16"/>
                <w:color w:val="auto"/>
              </w:rPr>
            </w:pPr>
          </w:p>
        </w:tc>
        <w:tc>
          <w:tcPr>
            <w:tcW w:w="11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48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20" w:type="dxa"/>
            <w:vAlign w:val="bottom"/>
            <w:gridSpan w:val="2"/>
          </w:tcPr>
          <w:p>
            <w:pPr>
              <w:ind w:left="140"/>
              <w:spacing w:after="0"/>
              <w:rPr>
                <w:sz w:val="20"/>
                <w:szCs w:val="20"/>
                <w:color w:val="auto"/>
              </w:rPr>
            </w:pPr>
            <w:r>
              <w:rPr>
                <w:rFonts w:ascii="Arial" w:cs="Arial" w:eastAsia="Arial" w:hAnsi="Arial"/>
                <w:sz w:val="14"/>
                <w:szCs w:val="14"/>
                <w:color w:val="auto"/>
              </w:rPr>
              <w:t>C&amp;I and other commercial</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10,000</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0.5 %</w:t>
            </w:r>
          </w:p>
        </w:tc>
        <w:tc>
          <w:tcPr>
            <w:tcW w:w="8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17,155</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213"/>
        </w:trPr>
        <w:tc>
          <w:tcPr>
            <w:tcW w:w="54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20" w:type="dxa"/>
            <w:vAlign w:val="bottom"/>
            <w:tcBorders>
              <w:bottom w:val="single" w:sz="8" w:color="auto"/>
            </w:tcBorders>
            <w:shd w:val="clear" w:color="auto" w:fill="E0E7ED"/>
          </w:tcPr>
          <w:p>
            <w:pPr>
              <w:spacing w:after="0"/>
              <w:rPr>
                <w:sz w:val="18"/>
                <w:szCs w:val="18"/>
                <w:color w:val="auto"/>
              </w:rPr>
            </w:pPr>
          </w:p>
        </w:tc>
        <w:tc>
          <w:tcPr>
            <w:tcW w:w="12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8"/>
                <w:szCs w:val="18"/>
                <w:color w:val="auto"/>
              </w:rPr>
            </w:pPr>
          </w:p>
        </w:tc>
        <w:tc>
          <w:tcPr>
            <w:tcW w:w="1560" w:type="dxa"/>
            <w:vAlign w:val="bottom"/>
            <w:gridSpan w:val="2"/>
            <w:shd w:val="clear" w:color="auto" w:fill="E0E7ED"/>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1,705</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212"/>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Total of loans modified during the period</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10,000</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18,860</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11"/>
        </w:numPr>
        <w:rPr>
          <w:rFonts w:ascii="Arial" w:cs="Arial" w:eastAsia="Arial" w:hAnsi="Arial"/>
          <w:sz w:val="11"/>
          <w:szCs w:val="11"/>
          <w:color w:val="auto"/>
        </w:rPr>
      </w:pPr>
      <w:r>
        <w:rPr>
          <w:rFonts w:ascii="Arial" w:cs="Arial" w:eastAsia="Arial" w:hAnsi="Arial"/>
          <w:sz w:val="11"/>
          <w:szCs w:val="11"/>
          <w:color w:val="auto"/>
        </w:rPr>
        <w:t>One loan was modified and classified as non-accrual during the three months ended March 31, 2024.</w:t>
      </w:r>
    </w:p>
    <w:p>
      <w:pPr>
        <w:spacing w:after="0" w:line="11" w:lineRule="exact"/>
        <w:rPr>
          <w:rFonts w:ascii="Arial" w:cs="Arial" w:eastAsia="Arial" w:hAnsi="Arial"/>
          <w:sz w:val="11"/>
          <w:szCs w:val="11"/>
          <w:color w:val="auto"/>
        </w:rPr>
      </w:pPr>
    </w:p>
    <w:p>
      <w:pPr>
        <w:ind w:left="380" w:hanging="248"/>
        <w:spacing w:after="0"/>
        <w:tabs>
          <w:tab w:leader="none" w:pos="3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Modifications to extend loan terms also included, in some cases, interest rate increases during the extension period. All modifications were for loans classified as substandard.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effects of loan modifications made during the periods indicated for borrowers experiencing financial difficulty:</w:t>
      </w:r>
    </w:p>
    <w:p>
      <w:pPr>
        <w:spacing w:after="0" w:line="187" w:lineRule="exact"/>
        <w:rPr>
          <w:sz w:val="20"/>
          <w:szCs w:val="20"/>
          <w:color w:val="auto"/>
        </w:rPr>
      </w:pPr>
    </w:p>
    <w:p>
      <w:pPr>
        <w:ind w:left="9040"/>
        <w:spacing w:after="0"/>
        <w:rPr>
          <w:sz w:val="20"/>
          <w:szCs w:val="20"/>
          <w:color w:val="auto"/>
        </w:rPr>
      </w:pPr>
      <w:r>
        <w:rPr>
          <w:rFonts w:ascii="Arial" w:cs="Arial" w:eastAsia="Arial" w:hAnsi="Arial"/>
          <w:sz w:val="11"/>
          <w:szCs w:val="11"/>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5372735</wp:posOffset>
            </wp:positionH>
            <wp:positionV relativeFrom="paragraph">
              <wp:posOffset>11430</wp:posOffset>
            </wp:positionV>
            <wp:extent cx="179197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791970" cy="6985"/>
                    </a:xfrm>
                    <a:prstGeom prst="rect">
                      <a:avLst/>
                    </a:prstGeom>
                    <a:noFill/>
                  </pic:spPr>
                </pic:pic>
              </a:graphicData>
            </a:graphic>
          </wp:anchor>
        </w:drawing>
      </w:r>
    </w:p>
    <w:p>
      <w:pPr>
        <w:spacing w:after="0" w:line="13" w:lineRule="exact"/>
        <w:rPr>
          <w:sz w:val="20"/>
          <w:szCs w:val="20"/>
          <w:color w:val="auto"/>
        </w:rPr>
      </w:pPr>
    </w:p>
    <w:p>
      <w:pPr>
        <w:ind w:left="9020"/>
        <w:spacing w:after="0"/>
        <w:tabs>
          <w:tab w:leader="none" w:pos="10460" w:val="left"/>
        </w:tabs>
        <w:rPr>
          <w:sz w:val="20"/>
          <w:szCs w:val="20"/>
          <w:color w:val="auto"/>
        </w:rPr>
      </w:pPr>
      <w:r>
        <w:rPr>
          <w:rFonts w:ascii="Arial" w:cs="Arial" w:eastAsia="Arial" w:hAnsi="Arial"/>
          <w:sz w:val="11"/>
          <w:szCs w:val="11"/>
          <w:b w:val="1"/>
          <w:bCs w:val="1"/>
          <w:color w:val="auto"/>
        </w:rPr>
        <w:t>2025</w:t>
      </w:r>
      <w:r>
        <w:rPr>
          <w:sz w:val="20"/>
          <w:szCs w:val="20"/>
          <w:color w:val="auto"/>
        </w:rPr>
        <w:tab/>
      </w:r>
      <w:r>
        <w:rPr>
          <w:rFonts w:ascii="Arial" w:cs="Arial" w:eastAsia="Arial" w:hAnsi="Arial"/>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5372735</wp:posOffset>
            </wp:positionH>
            <wp:positionV relativeFrom="paragraph">
              <wp:posOffset>11430</wp:posOffset>
            </wp:positionV>
            <wp:extent cx="179197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791970" cy="698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p>
      <w:pPr>
        <w:spacing w:after="0" w:line="22" w:lineRule="exact"/>
        <w:rPr>
          <w:sz w:val="20"/>
          <w:szCs w:val="20"/>
          <w:color w:val="auto"/>
        </w:rPr>
      </w:pPr>
    </w:p>
    <w:p>
      <w:pPr>
        <w:jc w:val="center"/>
        <w:ind w:left="8500"/>
        <w:spacing w:after="0"/>
        <w:rPr>
          <w:sz w:val="20"/>
          <w:szCs w:val="20"/>
          <w:color w:val="auto"/>
        </w:rPr>
      </w:pPr>
      <w:r>
        <w:rPr>
          <w:rFonts w:ascii="Arial" w:cs="Arial" w:eastAsia="Arial" w:hAnsi="Arial"/>
          <w:sz w:val="11"/>
          <w:szCs w:val="11"/>
          <w:b w:val="1"/>
          <w:bCs w:val="1"/>
          <w:color w:val="auto"/>
        </w:rPr>
        <w:t>Weighted Average Term</w:t>
      </w:r>
    </w:p>
    <w:p>
      <w:pPr>
        <w:jc w:val="center"/>
        <w:ind w:left="8500"/>
        <w:spacing w:after="0"/>
        <w:rPr>
          <w:sz w:val="20"/>
          <w:szCs w:val="20"/>
          <w:color w:val="auto"/>
        </w:rPr>
      </w:pPr>
      <w:r>
        <w:rPr>
          <w:rFonts w:ascii="Arial" w:cs="Arial" w:eastAsia="Arial" w:hAnsi="Arial"/>
          <w:sz w:val="11"/>
          <w:szCs w:val="11"/>
          <w:b w:val="1"/>
          <w:bCs w:val="1"/>
          <w:color w:val="auto"/>
        </w:rPr>
        <w:t>Extension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40"/>
        <w:spacing w:after="0" w:line="237" w:lineRule="auto"/>
        <w:rPr>
          <w:sz w:val="20"/>
          <w:szCs w:val="20"/>
          <w:color w:val="auto"/>
        </w:rPr>
      </w:pPr>
      <w:r>
        <w:rPr>
          <w:rFonts w:ascii="Arial" w:cs="Arial" w:eastAsia="Arial" w:hAnsi="Arial"/>
          <w:sz w:val="11"/>
          <w:szCs w:val="11"/>
          <w:b w:val="1"/>
          <w:bCs w:val="1"/>
          <w:color w:val="auto"/>
        </w:rPr>
        <w:t>Weighted Average Term Extension</w:t>
      </w:r>
    </w:p>
    <w:p>
      <w:pPr>
        <w:spacing w:after="0" w:line="1" w:lineRule="exact"/>
        <w:rPr>
          <w:sz w:val="20"/>
          <w:szCs w:val="20"/>
          <w:color w:val="auto"/>
        </w:rPr>
      </w:pPr>
    </w:p>
    <w:p>
      <w:pPr>
        <w:sectPr>
          <w:pgSz w:w="11900" w:h="16838" w:orient="portrait"/>
          <w:cols w:equalWidth="0" w:num="2">
            <w:col w:w="9780" w:space="180"/>
            <w:col w:w="1320"/>
          </w:cols>
          <w:pgMar w:left="300" w:top="263" w:right="31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84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Loan Modifications</w:t>
            </w:r>
          </w:p>
        </w:tc>
        <w:tc>
          <w:tcPr>
            <w:tcW w:w="136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1360" w:type="dxa"/>
            <w:vAlign w:val="bottom"/>
            <w:tcBorders>
              <w:top w:val="single" w:sz="8" w:color="auto"/>
            </w:tcBorders>
            <w:shd w:val="clear" w:color="auto" w:fill="E0E7ED"/>
          </w:tcPr>
          <w:p>
            <w:pPr>
              <w:spacing w:after="0"/>
              <w:rPr>
                <w:sz w:val="16"/>
                <w:szCs w:val="16"/>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23.1 months</w:t>
            </w:r>
          </w:p>
        </w:tc>
        <w:tc>
          <w:tcPr>
            <w:tcW w:w="1360" w:type="dxa"/>
            <w:vAlign w:val="bottom"/>
          </w:tcPr>
          <w:p>
            <w:pPr>
              <w:jc w:val="right"/>
              <w:spacing w:after="0"/>
              <w:rPr>
                <w:sz w:val="20"/>
                <w:szCs w:val="20"/>
                <w:color w:val="auto"/>
              </w:rPr>
            </w:pPr>
            <w:r>
              <w:rPr>
                <w:rFonts w:ascii="Arial" w:cs="Arial" w:eastAsia="Arial" w:hAnsi="Arial"/>
                <w:sz w:val="14"/>
                <w:szCs w:val="14"/>
                <w:color w:val="auto"/>
              </w:rPr>
              <w:t>19.1 months</w:t>
            </w: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1460" w:type="dxa"/>
            <w:vAlign w:val="bottom"/>
            <w:gridSpan w:val="2"/>
            <w:shd w:val="clear" w:color="auto" w:fill="E0E7ED"/>
          </w:tcPr>
          <w:p>
            <w:pPr>
              <w:jc w:val="right"/>
              <w:ind w:right="100"/>
              <w:spacing w:after="0"/>
              <w:rPr>
                <w:sz w:val="20"/>
                <w:szCs w:val="20"/>
                <w:color w:val="auto"/>
              </w:rPr>
            </w:pPr>
            <w:r>
              <w:rPr>
                <w:rFonts w:ascii="Arial" w:cs="Arial" w:eastAsia="Arial" w:hAnsi="Arial"/>
                <w:sz w:val="14"/>
                <w:szCs w:val="14"/>
                <w:color w:val="auto"/>
              </w:rPr>
              <w:t>6.1 months</w:t>
            </w:r>
          </w:p>
        </w:tc>
        <w:tc>
          <w:tcPr>
            <w:tcW w:w="13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2.0 months</w:t>
            </w:r>
          </w:p>
        </w:tc>
      </w:tr>
      <w:tr>
        <w:trPr>
          <w:trHeight w:val="203"/>
        </w:trPr>
        <w:tc>
          <w:tcPr>
            <w:tcW w:w="8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Real estate construction</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 months</w:t>
            </w:r>
          </w:p>
        </w:tc>
        <w:tc>
          <w:tcPr>
            <w:tcW w:w="100" w:type="dxa"/>
            <w:vAlign w:val="bottom"/>
            <w:tcBorders>
              <w:bottom w:val="single" w:sz="8" w:color="E0E7ED"/>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Weighted average modifications</w:t>
            </w:r>
          </w:p>
        </w:tc>
        <w:tc>
          <w:tcPr>
            <w:tcW w:w="1460" w:type="dxa"/>
            <w:vAlign w:val="bottom"/>
            <w:gridSpan w:val="2"/>
            <w:shd w:val="clear" w:color="auto" w:fill="E0E7ED"/>
          </w:tcPr>
          <w:p>
            <w:pPr>
              <w:jc w:val="right"/>
              <w:ind w:right="100"/>
              <w:spacing w:after="0"/>
              <w:rPr>
                <w:sz w:val="20"/>
                <w:szCs w:val="20"/>
                <w:color w:val="auto"/>
              </w:rPr>
            </w:pPr>
            <w:r>
              <w:rPr>
                <w:rFonts w:ascii="Arial" w:cs="Arial" w:eastAsia="Arial" w:hAnsi="Arial"/>
                <w:sz w:val="14"/>
                <w:szCs w:val="14"/>
                <w:color w:val="auto"/>
              </w:rPr>
              <w:t>19.3 months</w:t>
            </w:r>
          </w:p>
        </w:tc>
        <w:tc>
          <w:tcPr>
            <w:tcW w:w="13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17.6 months</w:t>
            </w: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Performance of Modified Loans</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 closely monitors the performance of the loans that are modified for borrowers experiencing financial difficulty to understand the effectiveness of its modification efforts. The following table depicts the payment performance of loans modified during the last twelve months: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5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5"/>
          </w:tcPr>
          <w:p>
            <w:pPr>
              <w:ind w:left="600"/>
              <w:spacing w:after="0"/>
              <w:rPr>
                <w:sz w:val="20"/>
                <w:szCs w:val="20"/>
                <w:color w:val="auto"/>
              </w:rPr>
            </w:pPr>
            <w:r>
              <w:rPr>
                <w:rFonts w:ascii="Arial" w:cs="Arial" w:eastAsia="Arial" w:hAnsi="Arial"/>
                <w:sz w:val="11"/>
                <w:szCs w:val="11"/>
                <w:b w:val="1"/>
                <w:bCs w:val="1"/>
                <w:color w:val="auto"/>
              </w:rPr>
              <w:t>As of March 31, 2025</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39"/>
        </w:trPr>
        <w:tc>
          <w:tcPr>
            <w:tcW w:w="55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00" w:type="dxa"/>
            <w:vAlign w:val="bottom"/>
          </w:tcPr>
          <w:p>
            <w:pPr>
              <w:spacing w:after="0"/>
              <w:rPr>
                <w:sz w:val="12"/>
                <w:szCs w:val="12"/>
                <w:color w:val="auto"/>
              </w:rPr>
            </w:pPr>
          </w:p>
        </w:tc>
        <w:tc>
          <w:tcPr>
            <w:tcW w:w="1160" w:type="dxa"/>
            <w:vAlign w:val="bottom"/>
            <w:gridSpan w:val="2"/>
          </w:tcPr>
          <w:p>
            <w:pPr>
              <w:ind w:left="180"/>
              <w:spacing w:after="0"/>
              <w:rPr>
                <w:sz w:val="20"/>
                <w:szCs w:val="20"/>
                <w:color w:val="auto"/>
              </w:rPr>
            </w:pPr>
            <w:r>
              <w:rPr>
                <w:rFonts w:ascii="Arial" w:cs="Arial" w:eastAsia="Arial" w:hAnsi="Arial"/>
                <w:sz w:val="11"/>
                <w:szCs w:val="11"/>
                <w:b w:val="1"/>
                <w:bCs w:val="1"/>
                <w:color w:val="auto"/>
              </w:rPr>
              <w:t>Current</w:t>
            </w:r>
          </w:p>
        </w:tc>
        <w:tc>
          <w:tcPr>
            <w:tcW w:w="240" w:type="dxa"/>
            <w:vAlign w:val="bottom"/>
          </w:tcPr>
          <w:p>
            <w:pPr>
              <w:spacing w:after="0"/>
              <w:rPr>
                <w:sz w:val="12"/>
                <w:szCs w:val="12"/>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30-89 Days</w:t>
            </w:r>
          </w:p>
        </w:tc>
        <w:tc>
          <w:tcPr>
            <w:tcW w:w="260" w:type="dxa"/>
            <w:vAlign w:val="bottom"/>
          </w:tcPr>
          <w:p>
            <w:pPr>
              <w:spacing w:after="0"/>
              <w:rPr>
                <w:sz w:val="12"/>
                <w:szCs w:val="12"/>
                <w:color w:val="auto"/>
              </w:rPr>
            </w:pPr>
          </w:p>
        </w:tc>
        <w:tc>
          <w:tcPr>
            <w:tcW w:w="1200" w:type="dxa"/>
            <w:vAlign w:val="bottom"/>
            <w:gridSpan w:val="2"/>
          </w:tcPr>
          <w:p>
            <w:pPr>
              <w:ind w:left="180"/>
              <w:spacing w:after="0"/>
              <w:rPr>
                <w:sz w:val="20"/>
                <w:szCs w:val="20"/>
                <w:color w:val="auto"/>
              </w:rPr>
            </w:pPr>
            <w:r>
              <w:rPr>
                <w:rFonts w:ascii="Arial" w:cs="Arial" w:eastAsia="Arial" w:hAnsi="Arial"/>
                <w:sz w:val="11"/>
                <w:szCs w:val="11"/>
                <w:b w:val="1"/>
                <w:bCs w:val="1"/>
                <w:color w:val="auto"/>
              </w:rPr>
              <w:t>90+ Days</w:t>
            </w:r>
          </w:p>
        </w:tc>
        <w:tc>
          <w:tcPr>
            <w:tcW w:w="220" w:type="dxa"/>
            <w:vAlign w:val="bottom"/>
          </w:tcPr>
          <w:p>
            <w:pPr>
              <w:spacing w:after="0"/>
              <w:rPr>
                <w:sz w:val="12"/>
                <w:szCs w:val="12"/>
                <w:color w:val="auto"/>
              </w:rPr>
            </w:pP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Non-accrual</w:t>
            </w:r>
          </w:p>
        </w:tc>
      </w:tr>
      <w:tr>
        <w:trPr>
          <w:trHeight w:val="192"/>
        </w:trPr>
        <w:tc>
          <w:tcPr>
            <w:tcW w:w="55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Modified Loans</w:t>
            </w:r>
          </w:p>
        </w:tc>
        <w:tc>
          <w:tcPr>
            <w:tcW w:w="30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40" w:type="dxa"/>
            <w:vAlign w:val="bottom"/>
            <w:tcBorders>
              <w:top w:val="single" w:sz="8" w:color="auto"/>
            </w:tcBorders>
            <w:shd w:val="clear" w:color="auto" w:fill="E0E7ED"/>
          </w:tcPr>
          <w:p>
            <w:pPr>
              <w:spacing w:after="0"/>
              <w:rPr>
                <w:sz w:val="16"/>
                <w:szCs w:val="16"/>
                <w:color w:val="auto"/>
              </w:rPr>
            </w:pPr>
          </w:p>
        </w:tc>
        <w:tc>
          <w:tcPr>
            <w:tcW w:w="112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60" w:type="dxa"/>
            <w:vAlign w:val="bottom"/>
            <w:tcBorders>
              <w:top w:val="single" w:sz="8" w:color="auto"/>
            </w:tcBorders>
            <w:shd w:val="clear" w:color="auto" w:fill="E0E7ED"/>
          </w:tcPr>
          <w:p>
            <w:pPr>
              <w:spacing w:after="0"/>
              <w:rPr>
                <w:sz w:val="16"/>
                <w:szCs w:val="16"/>
                <w:color w:val="auto"/>
              </w:rPr>
            </w:pPr>
          </w:p>
        </w:tc>
        <w:tc>
          <w:tcPr>
            <w:tcW w:w="110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140" w:type="dxa"/>
            <w:vAlign w:val="bottom"/>
            <w:tcBorders>
              <w:top w:val="single" w:sz="8" w:color="auto"/>
            </w:tcBorders>
            <w:shd w:val="clear" w:color="auto" w:fill="E0E7ED"/>
          </w:tcPr>
          <w:p>
            <w:pPr>
              <w:spacing w:after="0"/>
              <w:rPr>
                <w:sz w:val="16"/>
                <w:szCs w:val="16"/>
                <w:color w:val="auto"/>
              </w:rPr>
            </w:pPr>
          </w:p>
        </w:tc>
      </w:tr>
      <w:tr>
        <w:trPr>
          <w:trHeight w:val="202"/>
        </w:trPr>
        <w:tc>
          <w:tcPr>
            <w:tcW w:w="556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33,620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940"/>
              <w:spacing w:after="0"/>
              <w:rPr>
                <w:sz w:val="20"/>
                <w:szCs w:val="20"/>
                <w:color w:val="auto"/>
              </w:rPr>
            </w:pPr>
            <w:r>
              <w:rPr>
                <w:rFonts w:ascii="Arial" w:cs="Arial" w:eastAsia="Arial" w:hAnsi="Arial"/>
                <w:sz w:val="14"/>
                <w:szCs w:val="14"/>
                <w:color w:val="auto"/>
              </w:rPr>
              <w:t>—</w:t>
            </w:r>
          </w:p>
        </w:tc>
      </w:tr>
      <w:tr>
        <w:trPr>
          <w:trHeight w:val="222"/>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30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6,115</w:t>
            </w: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00" w:type="dxa"/>
            <w:vAlign w:val="bottom"/>
            <w:gridSpan w:val="2"/>
            <w:shd w:val="clear" w:color="auto" w:fill="E0E7ED"/>
          </w:tcPr>
          <w:p>
            <w:pPr>
              <w:ind w:left="9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0E7ED"/>
          </w:tcPr>
          <w:p>
            <w:pPr>
              <w:spacing w:after="0"/>
              <w:rPr>
                <w:sz w:val="19"/>
                <w:szCs w:val="19"/>
                <w:color w:val="auto"/>
              </w:rPr>
            </w:pPr>
          </w:p>
        </w:tc>
        <w:tc>
          <w:tcPr>
            <w:tcW w:w="1200" w:type="dxa"/>
            <w:vAlign w:val="bottom"/>
            <w:gridSpan w:val="2"/>
            <w:shd w:val="clear" w:color="auto" w:fill="E0E7ED"/>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ind w:left="940"/>
              <w:spacing w:after="0"/>
              <w:rPr>
                <w:sz w:val="20"/>
                <w:szCs w:val="20"/>
                <w:color w:val="auto"/>
              </w:rPr>
            </w:pPr>
            <w:r>
              <w:rPr>
                <w:rFonts w:ascii="Arial" w:cs="Arial" w:eastAsia="Arial" w:hAnsi="Arial"/>
                <w:sz w:val="14"/>
                <w:szCs w:val="14"/>
                <w:color w:val="auto"/>
              </w:rPr>
              <w:t>—</w:t>
            </w:r>
          </w:p>
        </w:tc>
      </w:tr>
      <w:tr>
        <w:trPr>
          <w:trHeight w:val="203"/>
        </w:trPr>
        <w:tc>
          <w:tcPr>
            <w:tcW w:w="55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Real estate construction</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5,208</w:t>
            </w: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w:t>
            </w:r>
          </w:p>
        </w:tc>
      </w:tr>
      <w:tr>
        <w:trPr>
          <w:trHeight w:val="232"/>
        </w:trPr>
        <w:tc>
          <w:tcPr>
            <w:tcW w:w="5560" w:type="dxa"/>
            <w:vAlign w:val="bottom"/>
            <w:shd w:val="clear" w:color="auto" w:fill="E0E7ED"/>
          </w:tcPr>
          <w:p>
            <w:pPr>
              <w:ind w:left="20"/>
              <w:spacing w:after="0"/>
              <w:rPr>
                <w:sz w:val="20"/>
                <w:szCs w:val="20"/>
                <w:color w:val="auto"/>
              </w:rPr>
            </w:pPr>
            <w:r>
              <w:rPr>
                <w:rFonts w:ascii="Arial" w:cs="Arial" w:eastAsia="Arial" w:hAnsi="Arial"/>
                <w:sz w:val="14"/>
                <w:szCs w:val="14"/>
                <w:color w:val="auto"/>
              </w:rPr>
              <w:t>Amortized cost of modified loans</w:t>
            </w:r>
          </w:p>
        </w:tc>
        <w:tc>
          <w:tcPr>
            <w:tcW w:w="300" w:type="dxa"/>
            <w:vAlign w:val="bottom"/>
            <w:shd w:val="clear" w:color="auto" w:fill="E0E7ED"/>
          </w:tcPr>
          <w:p>
            <w:pPr>
              <w:jc w:val="right"/>
              <w:ind w:right="12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44,943</w:t>
            </w: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E0E7ED"/>
          </w:tcPr>
          <w:p>
            <w:pPr>
              <w:ind w:left="9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E0E7ED"/>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E0E7ED"/>
          </w:tcPr>
          <w:p>
            <w:pPr>
              <w:ind w:left="940"/>
              <w:spacing w:after="0"/>
              <w:rPr>
                <w:sz w:val="20"/>
                <w:szCs w:val="20"/>
                <w:color w:val="auto"/>
              </w:rPr>
            </w:pPr>
            <w:r>
              <w:rPr>
                <w:rFonts w:ascii="Arial" w:cs="Arial" w:eastAsia="Arial" w:hAnsi="Arial"/>
                <w:sz w:val="14"/>
                <w:szCs w:val="14"/>
                <w:color w:val="auto"/>
              </w:rPr>
              <w:t>—</w:t>
            </w:r>
          </w:p>
        </w:tc>
      </w:tr>
      <w:tr>
        <w:trPr>
          <w:trHeight w:val="20"/>
        </w:trPr>
        <w:tc>
          <w:tcPr>
            <w:tcW w:w="556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 loans had a payment default during the three months ended March 31, 2024 or 2025, after having been modified during the 12 months before that default for borrowers experiencing financial difficulty. A default occurs when a loan is 90 days or more past due or transferred to non-accrual status.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Collateral Dependent Loans</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operation or sale of the underlying collateral and there are no other available and reliable sources of repayment. Loans are written down to the lower of cost or fair value of the underlying collateral, less estimated costs to sell. Busey had $45.1 million and $19.3 million of collateral dependent loans secured by real estate or business assets as of March 31, 2025, and December 31, 2024,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Foreclosures</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Busey’s recorded investment in residential real estate loans that were in the process of foreclosure was $5.7 million as of March 31, 2025. Busey follows Federal Housing Finance Agency guidelines on single-family foreclosures and real estate owned evictions on portfolio loans.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ACL is a valuation account that is deducted from the portfolio loans’ amortized cost bases to present the net amount expected to be collected on the portfolio loans. The ACL is established through the provision for credit losses charged to income. Portfolio loans are charged off against the ACL when management believes the uncollectibility of a loan balance is confirmed. Recoveries are recognized up to the aggregate amount of previously charged-off balances.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ACL consists of three components: (i) specific allocations/individual reserves; (ii) quantitative reserves; and (iii) qualitative reserves. For Busey Bank, a non-discounted cash flow model is used for the quantitative reserves. The cumulative loss rate used as the basis for the estimate of credit losses is comprised of Busey’s historical loss experience beginning in 2010. Due to the continued economic uncertainty in the markets in which the Company operates, Busey will continue to utilize a forecast period of 12 months with an immediate reversion to historical loss rates beyond this forecast period in its ACL estimate. For CrossFirst Bank, a cohort method is used for the quantitative reserves, with a look-back period of approximately six years to establish the cohort population. Busey is working to develop a new model with combined bank data for use once Busey Bank and CrossFirst Bank merge.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tables summarize activity in the ACL attributable to each lending activity. Allocation of a portion of the ACL to one lending activity does not preclude its availability to absorb losses from other lending activities: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5"/>
          </w:tcPr>
          <w:p>
            <w:pPr>
              <w:ind w:left="220"/>
              <w:spacing w:after="0"/>
              <w:rPr>
                <w:sz w:val="20"/>
                <w:szCs w:val="20"/>
                <w:color w:val="auto"/>
              </w:rPr>
            </w:pPr>
            <w:r>
              <w:rPr>
                <w:rFonts w:ascii="Arial" w:cs="Arial" w:eastAsia="Arial" w:hAnsi="Arial"/>
                <w:sz w:val="11"/>
                <w:szCs w:val="11"/>
                <w:b w:val="1"/>
                <w:bCs w:val="1"/>
                <w:color w:val="auto"/>
              </w:rPr>
              <w:t>Three Months Ended March 31, 2025</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2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80" w:type="dxa"/>
            <w:vAlign w:val="bottom"/>
          </w:tcPr>
          <w:p>
            <w:pPr>
              <w:spacing w:after="0"/>
              <w:rPr>
                <w:sz w:val="9"/>
                <w:szCs w:val="9"/>
                <w:color w:val="auto"/>
              </w:rPr>
            </w:pPr>
          </w:p>
        </w:tc>
        <w:tc>
          <w:tcPr>
            <w:tcW w:w="1260" w:type="dxa"/>
            <w:vAlign w:val="bottom"/>
            <w:gridSpan w:val="2"/>
          </w:tcPr>
          <w:p>
            <w:pPr>
              <w:jc w:val="center"/>
              <w:ind w:right="300"/>
              <w:spacing w:after="0" w:line="112" w:lineRule="exact"/>
              <w:rPr>
                <w:sz w:val="20"/>
                <w:szCs w:val="20"/>
                <w:color w:val="auto"/>
              </w:rPr>
            </w:pPr>
            <w:r>
              <w:rPr>
                <w:rFonts w:ascii="Arial" w:cs="Arial" w:eastAsia="Arial" w:hAnsi="Arial"/>
                <w:sz w:val="11"/>
                <w:szCs w:val="11"/>
                <w:b w:val="1"/>
                <w:bCs w:val="1"/>
                <w:color w:val="auto"/>
              </w:rPr>
              <w:t>C&amp;I and Other</w:t>
            </w:r>
          </w:p>
        </w:tc>
        <w:tc>
          <w:tcPr>
            <w:tcW w:w="320" w:type="dxa"/>
            <w:vAlign w:val="bottom"/>
          </w:tcPr>
          <w:p>
            <w:pPr>
              <w:spacing w:after="0"/>
              <w:rPr>
                <w:sz w:val="9"/>
                <w:szCs w:val="9"/>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CRE</w:t>
            </w:r>
          </w:p>
        </w:tc>
        <w:tc>
          <w:tcPr>
            <w:tcW w:w="200" w:type="dxa"/>
            <w:vAlign w:val="bottom"/>
          </w:tcPr>
          <w:p>
            <w:pPr>
              <w:spacing w:after="0"/>
              <w:rPr>
                <w:sz w:val="9"/>
                <w:szCs w:val="9"/>
                <w:color w:val="auto"/>
              </w:rPr>
            </w:pPr>
          </w:p>
        </w:tc>
        <w:tc>
          <w:tcPr>
            <w:tcW w:w="1240" w:type="dxa"/>
            <w:vAlign w:val="bottom"/>
            <w:gridSpan w:val="2"/>
          </w:tcPr>
          <w:p>
            <w:pPr>
              <w:jc w:val="center"/>
              <w:ind w:right="280"/>
              <w:spacing w:after="0" w:line="112" w:lineRule="exact"/>
              <w:rPr>
                <w:sz w:val="20"/>
                <w:szCs w:val="20"/>
                <w:color w:val="auto"/>
              </w:rPr>
            </w:pPr>
            <w:r>
              <w:rPr>
                <w:rFonts w:ascii="Arial" w:cs="Arial" w:eastAsia="Arial" w:hAnsi="Arial"/>
                <w:sz w:val="11"/>
                <w:szCs w:val="11"/>
                <w:b w:val="1"/>
                <w:bCs w:val="1"/>
                <w:color w:val="auto"/>
              </w:rPr>
              <w:t>Real Estate</w:t>
            </w:r>
          </w:p>
        </w:tc>
        <w:tc>
          <w:tcPr>
            <w:tcW w:w="240" w:type="dxa"/>
            <w:vAlign w:val="bottom"/>
          </w:tcPr>
          <w:p>
            <w:pPr>
              <w:spacing w:after="0"/>
              <w:rPr>
                <w:sz w:val="9"/>
                <w:szCs w:val="9"/>
                <w:color w:val="auto"/>
              </w:rPr>
            </w:pPr>
          </w:p>
        </w:tc>
        <w:tc>
          <w:tcPr>
            <w:tcW w:w="1200" w:type="dxa"/>
            <w:vAlign w:val="bottom"/>
            <w:gridSpan w:val="2"/>
          </w:tcPr>
          <w:p>
            <w:pPr>
              <w:jc w:val="center"/>
              <w:ind w:right="320"/>
              <w:spacing w:after="0" w:line="112" w:lineRule="exact"/>
              <w:rPr>
                <w:sz w:val="20"/>
                <w:szCs w:val="20"/>
                <w:color w:val="auto"/>
              </w:rPr>
            </w:pPr>
            <w:r>
              <w:rPr>
                <w:rFonts w:ascii="Arial" w:cs="Arial" w:eastAsia="Arial" w:hAnsi="Arial"/>
                <w:sz w:val="11"/>
                <w:szCs w:val="11"/>
                <w:b w:val="1"/>
                <w:bCs w:val="1"/>
                <w:color w:val="auto"/>
              </w:rPr>
              <w:t>Retail</w:t>
            </w:r>
          </w:p>
        </w:tc>
        <w:tc>
          <w:tcPr>
            <w:tcW w:w="220" w:type="dxa"/>
            <w:vAlign w:val="bottom"/>
          </w:tcPr>
          <w:p>
            <w:pPr>
              <w:spacing w:after="0"/>
              <w:rPr>
                <w:sz w:val="9"/>
                <w:szCs w:val="9"/>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Retail Other</w:t>
            </w:r>
          </w:p>
        </w:tc>
        <w:tc>
          <w:tcPr>
            <w:tcW w:w="320" w:type="dxa"/>
            <w:vAlign w:val="bottom"/>
          </w:tcPr>
          <w:p>
            <w:pPr>
              <w:spacing w:after="0"/>
              <w:rPr>
                <w:sz w:val="9"/>
                <w:szCs w:val="9"/>
                <w:color w:val="auto"/>
              </w:rPr>
            </w:pPr>
          </w:p>
        </w:tc>
        <w:tc>
          <w:tcPr>
            <w:tcW w:w="1040" w:type="dxa"/>
            <w:vAlign w:val="bottom"/>
            <w:vMerge w:val="restart"/>
          </w:tcPr>
          <w:p>
            <w:pPr>
              <w:jc w:val="right"/>
              <w:ind w:right="4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4"/>
        </w:trPr>
        <w:tc>
          <w:tcPr>
            <w:tcW w:w="2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Commercial</w:t>
            </w:r>
          </w:p>
        </w:tc>
        <w:tc>
          <w:tcPr>
            <w:tcW w:w="3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Construction</w:t>
            </w:r>
          </w:p>
        </w:tc>
        <w:tc>
          <w:tcPr>
            <w:tcW w:w="240" w:type="dxa"/>
            <w:vAlign w:val="bottom"/>
          </w:tcPr>
          <w:p>
            <w:pPr>
              <w:spacing w:after="0"/>
              <w:rPr>
                <w:sz w:val="11"/>
                <w:szCs w:val="1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Real Estate</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7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ACL balance, December 31, 2024</w:t>
            </w:r>
          </w:p>
        </w:tc>
        <w:tc>
          <w:tcPr>
            <w:tcW w:w="180" w:type="dxa"/>
            <w:vAlign w:val="bottom"/>
            <w:tcBorders>
              <w:top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21,589</w:t>
            </w:r>
          </w:p>
        </w:tc>
        <w:tc>
          <w:tcPr>
            <w:tcW w:w="10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32,301</w:t>
            </w:r>
          </w:p>
        </w:tc>
        <w:tc>
          <w:tcPr>
            <w:tcW w:w="8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3,345</w:t>
            </w:r>
          </w:p>
        </w:tc>
        <w:tc>
          <w:tcPr>
            <w:tcW w:w="8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23,711</w:t>
            </w:r>
          </w:p>
        </w:tc>
        <w:tc>
          <w:tcPr>
            <w:tcW w:w="80" w:type="dxa"/>
            <w:vAlign w:val="bottom"/>
            <w:tcBorders>
              <w:top w:val="single" w:sz="8" w:color="E0E7ED"/>
            </w:tcBorders>
            <w:shd w:val="clear" w:color="auto" w:fill="E0E7ED"/>
          </w:tcPr>
          <w:p>
            <w:pPr>
              <w:spacing w:after="0"/>
              <w:rPr>
                <w:sz w:val="17"/>
                <w:szCs w:val="17"/>
                <w:color w:val="auto"/>
              </w:rPr>
            </w:pPr>
          </w:p>
        </w:tc>
        <w:tc>
          <w:tcPr>
            <w:tcW w:w="220" w:type="dxa"/>
            <w:vAlign w:val="bottom"/>
            <w:tcBorders>
              <w:top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2,458</w:t>
            </w:r>
          </w:p>
        </w:tc>
        <w:tc>
          <w:tcPr>
            <w:tcW w:w="8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83,404</w:t>
            </w:r>
          </w:p>
        </w:tc>
        <w:tc>
          <w:tcPr>
            <w:tcW w:w="0" w:type="dxa"/>
            <w:vAlign w:val="bottom"/>
          </w:tcPr>
          <w:p>
            <w:pPr>
              <w:spacing w:after="0"/>
              <w:rPr>
                <w:sz w:val="1"/>
                <w:szCs w:val="1"/>
                <w:color w:val="auto"/>
              </w:rPr>
            </w:pPr>
          </w:p>
        </w:tc>
      </w:tr>
      <w:tr>
        <w:trPr>
          <w:trHeight w:val="212"/>
        </w:trPr>
        <w:tc>
          <w:tcPr>
            <w:tcW w:w="2720" w:type="dxa"/>
            <w:vAlign w:val="bottom"/>
          </w:tcPr>
          <w:p>
            <w:pPr>
              <w:ind w:left="140"/>
              <w:spacing w:after="0"/>
              <w:rPr>
                <w:sz w:val="20"/>
                <w:szCs w:val="20"/>
                <w:color w:val="auto"/>
              </w:rPr>
            </w:pPr>
            <w:r>
              <w:rPr>
                <w:rFonts w:ascii="Arial" w:cs="Arial" w:eastAsia="Arial" w:hAnsi="Arial"/>
                <w:sz w:val="14"/>
                <w:szCs w:val="14"/>
                <w:color w:val="auto"/>
              </w:rPr>
              <w:t>Day 1 PCD</w:t>
            </w:r>
            <w:r>
              <w:rPr>
                <w:rFonts w:ascii="Arial" w:cs="Arial" w:eastAsia="Arial" w:hAnsi="Arial"/>
                <w:sz w:val="18"/>
                <w:szCs w:val="18"/>
                <w:color w:val="auto"/>
                <w:vertAlign w:val="superscript"/>
              </w:rPr>
              <w:t>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75,569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100,783</w:t>
            </w:r>
          </w:p>
        </w:tc>
        <w:tc>
          <w:tcPr>
            <w:tcW w:w="0" w:type="dxa"/>
            <w:vAlign w:val="bottom"/>
          </w:tcPr>
          <w:p>
            <w:pPr>
              <w:spacing w:after="0"/>
              <w:rPr>
                <w:sz w:val="1"/>
                <w:szCs w:val="1"/>
                <w:color w:val="auto"/>
              </w:rPr>
            </w:pPr>
          </w:p>
        </w:tc>
      </w:tr>
      <w:tr>
        <w:trPr>
          <w:trHeight w:val="212"/>
        </w:trPr>
        <w:tc>
          <w:tcPr>
            <w:tcW w:w="27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Day 2 Provision for credit losses</w:t>
            </w:r>
            <w:r>
              <w:rPr>
                <w:rFonts w:ascii="Arial" w:cs="Arial" w:eastAsia="Arial" w:hAnsi="Arial"/>
                <w:sz w:val="18"/>
                <w:szCs w:val="18"/>
                <w:color w:val="auto"/>
                <w:vertAlign w:val="superscript"/>
              </w:rPr>
              <w:t>2</w:t>
            </w:r>
          </w:p>
        </w:tc>
        <w:tc>
          <w:tcPr>
            <w:tcW w:w="18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22,648</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15,104</w:t>
            </w: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2,911</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1,628</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142</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42,433</w:t>
            </w:r>
          </w:p>
        </w:tc>
        <w:tc>
          <w:tcPr>
            <w:tcW w:w="0" w:type="dxa"/>
            <w:vAlign w:val="bottom"/>
          </w:tcPr>
          <w:p>
            <w:pPr>
              <w:spacing w:after="0"/>
              <w:rPr>
                <w:sz w:val="1"/>
                <w:szCs w:val="1"/>
                <w:color w:val="auto"/>
              </w:rPr>
            </w:pPr>
          </w:p>
        </w:tc>
      </w:tr>
      <w:tr>
        <w:trPr>
          <w:trHeight w:val="202"/>
        </w:trPr>
        <w:tc>
          <w:tcPr>
            <w:tcW w:w="2720" w:type="dxa"/>
            <w:vAlign w:val="bottom"/>
          </w:tcPr>
          <w:p>
            <w:pPr>
              <w:ind w:left="140"/>
              <w:spacing w:after="0"/>
              <w:rPr>
                <w:sz w:val="20"/>
                <w:szCs w:val="20"/>
                <w:color w:val="auto"/>
              </w:rPr>
            </w:pPr>
            <w:r>
              <w:rPr>
                <w:rFonts w:ascii="Arial" w:cs="Arial" w:eastAsia="Arial" w:hAnsi="Arial"/>
                <w:sz w:val="14"/>
                <w:szCs w:val="14"/>
                <w:color w:val="auto"/>
              </w:rPr>
              <w:t>Provision for credit losses</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22"/>
        </w:trPr>
        <w:tc>
          <w:tcPr>
            <w:tcW w:w="27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Charged-off</w:t>
            </w:r>
          </w:p>
        </w:tc>
        <w:tc>
          <w:tcPr>
            <w:tcW w:w="18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(31,221)</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(253)</w:t>
            </w: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24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0E7ED"/>
          </w:tcPr>
          <w:p>
            <w:pPr>
              <w:spacing w:after="0"/>
              <w:rPr>
                <w:sz w:val="19"/>
                <w:szCs w:val="19"/>
                <w:color w:val="auto"/>
              </w:rPr>
            </w:pPr>
          </w:p>
        </w:tc>
        <w:tc>
          <w:tcPr>
            <w:tcW w:w="120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(361)</w:t>
            </w: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(31,835)</w:t>
            </w:r>
          </w:p>
        </w:tc>
        <w:tc>
          <w:tcPr>
            <w:tcW w:w="0" w:type="dxa"/>
            <w:vAlign w:val="bottom"/>
          </w:tcPr>
          <w:p>
            <w:pPr>
              <w:spacing w:after="0"/>
              <w:rPr>
                <w:sz w:val="1"/>
                <w:szCs w:val="1"/>
                <w:color w:val="auto"/>
              </w:rPr>
            </w:pPr>
          </w:p>
        </w:tc>
      </w:tr>
      <w:tr>
        <w:trPr>
          <w:trHeight w:val="203"/>
        </w:trPr>
        <w:tc>
          <w:tcPr>
            <w:tcW w:w="272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Recoveries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8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8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8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37"/>
        </w:trPr>
        <w:tc>
          <w:tcPr>
            <w:tcW w:w="27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ACL balance, March 31, 2025</w:t>
            </w:r>
          </w:p>
        </w:tc>
        <w:tc>
          <w:tcPr>
            <w:tcW w:w="180" w:type="dxa"/>
            <w:vAlign w:val="bottom"/>
            <w:tcBorders>
              <w:bottom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89,304</w:t>
            </w:r>
          </w:p>
        </w:tc>
        <w:tc>
          <w:tcPr>
            <w:tcW w:w="100" w:type="dxa"/>
            <w:vAlign w:val="bottom"/>
            <w:tcBorders>
              <w:bottom w:val="single" w:sz="8" w:color="E0E7ED"/>
            </w:tcBorders>
            <w:shd w:val="clear" w:color="auto" w:fill="E0E7ED"/>
          </w:tcPr>
          <w:p>
            <w:pPr>
              <w:spacing w:after="0"/>
              <w:rPr>
                <w:sz w:val="20"/>
                <w:szCs w:val="20"/>
                <w:color w:val="auto"/>
              </w:rPr>
            </w:pPr>
          </w:p>
        </w:tc>
        <w:tc>
          <w:tcPr>
            <w:tcW w:w="320" w:type="dxa"/>
            <w:vAlign w:val="bottom"/>
            <w:tcBorders>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68,478</w:t>
            </w:r>
          </w:p>
        </w:tc>
        <w:tc>
          <w:tcPr>
            <w:tcW w:w="8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8,689</w:t>
            </w:r>
          </w:p>
        </w:tc>
        <w:tc>
          <w:tcPr>
            <w:tcW w:w="80" w:type="dxa"/>
            <w:vAlign w:val="bottom"/>
            <w:tcBorders>
              <w:bottom w:val="single" w:sz="8" w:color="E0E7ED"/>
            </w:tcBorders>
            <w:shd w:val="clear" w:color="auto" w:fill="E0E7ED"/>
          </w:tcPr>
          <w:p>
            <w:pPr>
              <w:spacing w:after="0"/>
              <w:rPr>
                <w:sz w:val="20"/>
                <w:szCs w:val="20"/>
                <w:color w:val="auto"/>
              </w:rPr>
            </w:pPr>
          </w:p>
        </w:tc>
        <w:tc>
          <w:tcPr>
            <w:tcW w:w="240" w:type="dxa"/>
            <w:vAlign w:val="bottom"/>
            <w:tcBorders>
              <w:bottom w:val="single" w:sz="8" w:color="auto"/>
            </w:tcBorders>
            <w:shd w:val="clear" w:color="auto" w:fill="E0E7ED"/>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26,399</w:t>
            </w:r>
          </w:p>
        </w:tc>
        <w:tc>
          <w:tcPr>
            <w:tcW w:w="8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2,340</w:t>
            </w:r>
          </w:p>
        </w:tc>
        <w:tc>
          <w:tcPr>
            <w:tcW w:w="80" w:type="dxa"/>
            <w:vAlign w:val="bottom"/>
            <w:tcBorders>
              <w:bottom w:val="single" w:sz="8" w:color="E0E7ED"/>
            </w:tcBorders>
            <w:shd w:val="clear" w:color="auto" w:fill="E0E7ED"/>
          </w:tcPr>
          <w:p>
            <w:pPr>
              <w:spacing w:after="0"/>
              <w:rPr>
                <w:sz w:val="20"/>
                <w:szCs w:val="20"/>
                <w:color w:val="auto"/>
              </w:rPr>
            </w:pPr>
          </w:p>
        </w:tc>
        <w:tc>
          <w:tcPr>
            <w:tcW w:w="320" w:type="dxa"/>
            <w:vAlign w:val="bottom"/>
            <w:tcBorders>
              <w:bottom w:val="single" w:sz="8" w:color="auto"/>
            </w:tcBorders>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195,210</w:t>
            </w:r>
          </w:p>
        </w:tc>
        <w:tc>
          <w:tcPr>
            <w:tcW w:w="0" w:type="dxa"/>
            <w:vAlign w:val="bottom"/>
          </w:tcPr>
          <w:p>
            <w:pPr>
              <w:spacing w:after="0"/>
              <w:rPr>
                <w:sz w:val="1"/>
                <w:szCs w:val="1"/>
                <w:color w:val="auto"/>
              </w:rPr>
            </w:pPr>
          </w:p>
        </w:tc>
      </w:tr>
      <w:tr>
        <w:trPr>
          <w:trHeight w:val="20"/>
        </w:trPr>
        <w:tc>
          <w:tcPr>
            <w:tcW w:w="27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 xml:space="preserve">The Day 1 PCD is attributable to the CrossFirst acquisition (see </w:t>
      </w:r>
      <w:r>
        <w:rPr>
          <w:rFonts w:ascii="Arial" w:cs="Arial" w:eastAsia="Arial" w:hAnsi="Arial"/>
          <w:sz w:val="11"/>
          <w:szCs w:val="11"/>
          <w:i w:val="1"/>
          <w:iCs w:val="1"/>
          <w:color w:val="auto"/>
        </w:rPr>
        <w:t>“</w:t>
      </w:r>
      <w:r>
        <w:rPr>
          <w:rFonts w:ascii="Arial" w:cs="Arial" w:eastAsia="Arial" w:hAnsi="Arial"/>
          <w:sz w:val="11"/>
          <w:szCs w:val="11"/>
          <w:i w:val="1"/>
          <w:iCs w:val="1"/>
          <w:u w:val="single" w:color="auto"/>
          <w:color w:val="0000FF"/>
        </w:rPr>
        <w:t>Note 2. Mergers and Acquisitions</w:t>
      </w:r>
      <w:r>
        <w:rPr>
          <w:rFonts w:ascii="Arial" w:cs="Arial" w:eastAsia="Arial" w:hAnsi="Arial"/>
          <w:sz w:val="11"/>
          <w:szCs w:val="11"/>
          <w:i w:val="1"/>
          <w:iCs w:val="1"/>
          <w:color w:val="auto"/>
        </w:rPr>
        <w:t>”</w:t>
      </w:r>
      <w:r>
        <w:rPr>
          <w:rFonts w:ascii="Arial" w:cs="Arial" w:eastAsia="Arial" w:hAnsi="Arial"/>
          <w:sz w:val="11"/>
          <w:szCs w:val="11"/>
          <w:color w:val="auto"/>
        </w:rPr>
        <w:t>), and represents the initial adjustment to the fair value of the PCD loans.</w:t>
      </w:r>
    </w:p>
    <w:p>
      <w:pPr>
        <w:spacing w:after="0" w:line="11" w:lineRule="exact"/>
        <w:rPr>
          <w:rFonts w:ascii="Arial" w:cs="Arial" w:eastAsia="Arial" w:hAnsi="Arial"/>
          <w:sz w:val="11"/>
          <w:szCs w:val="11"/>
          <w:color w:val="auto"/>
        </w:rPr>
      </w:pPr>
    </w:p>
    <w:p>
      <w:pPr>
        <w:ind w:left="380" w:hanging="248"/>
        <w:spacing w:after="0"/>
        <w:tabs>
          <w:tab w:leader="none" w:pos="3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 xml:space="preserve">The Day 2 provision for credit losses is attributable to the CrossFirst acquisition (see </w:t>
      </w:r>
      <w:r>
        <w:rPr>
          <w:rFonts w:ascii="Arial" w:cs="Arial" w:eastAsia="Arial" w:hAnsi="Arial"/>
          <w:sz w:val="11"/>
          <w:szCs w:val="11"/>
          <w:i w:val="1"/>
          <w:iCs w:val="1"/>
          <w:color w:val="auto"/>
        </w:rPr>
        <w:t>“</w:t>
      </w:r>
      <w:r>
        <w:rPr>
          <w:rFonts w:ascii="Arial" w:cs="Arial" w:eastAsia="Arial" w:hAnsi="Arial"/>
          <w:sz w:val="11"/>
          <w:szCs w:val="11"/>
          <w:i w:val="1"/>
          <w:iCs w:val="1"/>
          <w:u w:val="single" w:color="auto"/>
          <w:color w:val="0000FF"/>
        </w:rPr>
        <w:t>Note 2. Mergers and Acquisitions</w:t>
      </w:r>
      <w:r>
        <w:rPr>
          <w:rFonts w:ascii="Arial" w:cs="Arial" w:eastAsia="Arial" w:hAnsi="Arial"/>
          <w:sz w:val="11"/>
          <w:szCs w:val="11"/>
          <w:i w:val="1"/>
          <w:iCs w:val="1"/>
          <w:color w:val="auto"/>
        </w:rPr>
        <w:t>”</w:t>
      </w:r>
      <w:r>
        <w:rPr>
          <w:rFonts w:ascii="Arial" w:cs="Arial" w:eastAsia="Arial" w:hAnsi="Arial"/>
          <w:sz w:val="11"/>
          <w:szCs w:val="11"/>
          <w:color w:val="auto"/>
        </w:rPr>
        <w:t>), and represents the initial provision for non-PCD loans.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5"/>
          </w:tcPr>
          <w:p>
            <w:pPr>
              <w:ind w:left="220"/>
              <w:spacing w:after="0"/>
              <w:rPr>
                <w:sz w:val="20"/>
                <w:szCs w:val="20"/>
                <w:color w:val="auto"/>
              </w:rPr>
            </w:pPr>
            <w:r>
              <w:rPr>
                <w:rFonts w:ascii="Arial" w:cs="Arial" w:eastAsia="Arial" w:hAnsi="Arial"/>
                <w:sz w:val="11"/>
                <w:szCs w:val="11"/>
                <w:b w:val="1"/>
                <w:bCs w:val="1"/>
                <w:color w:val="auto"/>
              </w:rPr>
              <w:t>Three Months Ended March 31, 2024</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72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80" w:type="dxa"/>
            <w:vAlign w:val="bottom"/>
          </w:tcPr>
          <w:p>
            <w:pPr>
              <w:spacing w:after="0"/>
              <w:rPr>
                <w:sz w:val="9"/>
                <w:szCs w:val="9"/>
                <w:color w:val="auto"/>
              </w:rPr>
            </w:pPr>
          </w:p>
        </w:tc>
        <w:tc>
          <w:tcPr>
            <w:tcW w:w="1260" w:type="dxa"/>
            <w:vAlign w:val="bottom"/>
            <w:gridSpan w:val="2"/>
          </w:tcPr>
          <w:p>
            <w:pPr>
              <w:jc w:val="center"/>
              <w:ind w:right="300"/>
              <w:spacing w:after="0" w:line="107" w:lineRule="exact"/>
              <w:rPr>
                <w:sz w:val="20"/>
                <w:szCs w:val="20"/>
                <w:color w:val="auto"/>
              </w:rPr>
            </w:pPr>
            <w:r>
              <w:rPr>
                <w:rFonts w:ascii="Arial" w:cs="Arial" w:eastAsia="Arial" w:hAnsi="Arial"/>
                <w:sz w:val="11"/>
                <w:szCs w:val="11"/>
                <w:b w:val="1"/>
                <w:bCs w:val="1"/>
                <w:color w:val="auto"/>
              </w:rPr>
              <w:t>C&amp;I and Other</w:t>
            </w:r>
          </w:p>
        </w:tc>
        <w:tc>
          <w:tcPr>
            <w:tcW w:w="320" w:type="dxa"/>
            <w:vAlign w:val="bottom"/>
          </w:tcPr>
          <w:p>
            <w:pPr>
              <w:spacing w:after="0"/>
              <w:rPr>
                <w:sz w:val="9"/>
                <w:szCs w:val="9"/>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CRE</w:t>
            </w:r>
          </w:p>
        </w:tc>
        <w:tc>
          <w:tcPr>
            <w:tcW w:w="200" w:type="dxa"/>
            <w:vAlign w:val="bottom"/>
          </w:tcPr>
          <w:p>
            <w:pPr>
              <w:spacing w:after="0"/>
              <w:rPr>
                <w:sz w:val="9"/>
                <w:szCs w:val="9"/>
                <w:color w:val="auto"/>
              </w:rPr>
            </w:pPr>
          </w:p>
        </w:tc>
        <w:tc>
          <w:tcPr>
            <w:tcW w:w="1240" w:type="dxa"/>
            <w:vAlign w:val="bottom"/>
            <w:gridSpan w:val="2"/>
          </w:tcPr>
          <w:p>
            <w:pPr>
              <w:jc w:val="center"/>
              <w:ind w:right="280"/>
              <w:spacing w:after="0" w:line="107" w:lineRule="exact"/>
              <w:rPr>
                <w:sz w:val="20"/>
                <w:szCs w:val="20"/>
                <w:color w:val="auto"/>
              </w:rPr>
            </w:pPr>
            <w:r>
              <w:rPr>
                <w:rFonts w:ascii="Arial" w:cs="Arial" w:eastAsia="Arial" w:hAnsi="Arial"/>
                <w:sz w:val="11"/>
                <w:szCs w:val="11"/>
                <w:b w:val="1"/>
                <w:bCs w:val="1"/>
                <w:color w:val="auto"/>
              </w:rPr>
              <w:t>Real Estate</w:t>
            </w:r>
          </w:p>
        </w:tc>
        <w:tc>
          <w:tcPr>
            <w:tcW w:w="240" w:type="dxa"/>
            <w:vAlign w:val="bottom"/>
          </w:tcPr>
          <w:p>
            <w:pPr>
              <w:spacing w:after="0"/>
              <w:rPr>
                <w:sz w:val="9"/>
                <w:szCs w:val="9"/>
                <w:color w:val="auto"/>
              </w:rPr>
            </w:pPr>
          </w:p>
        </w:tc>
        <w:tc>
          <w:tcPr>
            <w:tcW w:w="1200" w:type="dxa"/>
            <w:vAlign w:val="bottom"/>
            <w:gridSpan w:val="2"/>
          </w:tcPr>
          <w:p>
            <w:pPr>
              <w:jc w:val="center"/>
              <w:ind w:right="320"/>
              <w:spacing w:after="0" w:line="107" w:lineRule="exact"/>
              <w:rPr>
                <w:sz w:val="20"/>
                <w:szCs w:val="20"/>
                <w:color w:val="auto"/>
              </w:rPr>
            </w:pPr>
            <w:r>
              <w:rPr>
                <w:rFonts w:ascii="Arial" w:cs="Arial" w:eastAsia="Arial" w:hAnsi="Arial"/>
                <w:sz w:val="11"/>
                <w:szCs w:val="11"/>
                <w:b w:val="1"/>
                <w:bCs w:val="1"/>
                <w:color w:val="auto"/>
              </w:rPr>
              <w:t>Retail</w:t>
            </w:r>
          </w:p>
        </w:tc>
        <w:tc>
          <w:tcPr>
            <w:tcW w:w="220" w:type="dxa"/>
            <w:vAlign w:val="bottom"/>
          </w:tcPr>
          <w:p>
            <w:pPr>
              <w:spacing w:after="0"/>
              <w:rPr>
                <w:sz w:val="9"/>
                <w:szCs w:val="9"/>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Retail Other</w:t>
            </w:r>
          </w:p>
        </w:tc>
        <w:tc>
          <w:tcPr>
            <w:tcW w:w="320" w:type="dxa"/>
            <w:vAlign w:val="bottom"/>
          </w:tcPr>
          <w:p>
            <w:pPr>
              <w:spacing w:after="0"/>
              <w:rPr>
                <w:sz w:val="9"/>
                <w:szCs w:val="9"/>
                <w:color w:val="auto"/>
              </w:rPr>
            </w:pPr>
          </w:p>
        </w:tc>
        <w:tc>
          <w:tcPr>
            <w:tcW w:w="1040" w:type="dxa"/>
            <w:vAlign w:val="bottom"/>
            <w:vMerge w:val="restart"/>
          </w:tcPr>
          <w:p>
            <w:pPr>
              <w:jc w:val="right"/>
              <w:ind w:right="47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2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Commercial</w:t>
            </w:r>
          </w:p>
        </w:tc>
        <w:tc>
          <w:tcPr>
            <w:tcW w:w="3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Construction</w:t>
            </w:r>
          </w:p>
        </w:tc>
        <w:tc>
          <w:tcPr>
            <w:tcW w:w="240" w:type="dxa"/>
            <w:vAlign w:val="bottom"/>
          </w:tcPr>
          <w:p>
            <w:pPr>
              <w:spacing w:after="0"/>
              <w:rPr>
                <w:sz w:val="11"/>
                <w:szCs w:val="1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Real Estate</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7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ACL balance, December 31, 2023</w:t>
            </w:r>
          </w:p>
        </w:tc>
        <w:tc>
          <w:tcPr>
            <w:tcW w:w="180" w:type="dxa"/>
            <w:vAlign w:val="bottom"/>
            <w:tcBorders>
              <w:top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21,256</w:t>
            </w:r>
          </w:p>
        </w:tc>
        <w:tc>
          <w:tcPr>
            <w:tcW w:w="10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35,465</w:t>
            </w:r>
          </w:p>
        </w:tc>
        <w:tc>
          <w:tcPr>
            <w:tcW w:w="8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5,163</w:t>
            </w:r>
          </w:p>
        </w:tc>
        <w:tc>
          <w:tcPr>
            <w:tcW w:w="8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26,298</w:t>
            </w:r>
          </w:p>
        </w:tc>
        <w:tc>
          <w:tcPr>
            <w:tcW w:w="80" w:type="dxa"/>
            <w:vAlign w:val="bottom"/>
            <w:tcBorders>
              <w:top w:val="single" w:sz="8" w:color="E0E7ED"/>
            </w:tcBorders>
            <w:shd w:val="clear" w:color="auto" w:fill="E0E7ED"/>
          </w:tcPr>
          <w:p>
            <w:pPr>
              <w:spacing w:after="0"/>
              <w:rPr>
                <w:sz w:val="17"/>
                <w:szCs w:val="17"/>
                <w:color w:val="auto"/>
              </w:rPr>
            </w:pPr>
          </w:p>
        </w:tc>
        <w:tc>
          <w:tcPr>
            <w:tcW w:w="220" w:type="dxa"/>
            <w:vAlign w:val="bottom"/>
            <w:tcBorders>
              <w:top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3,558</w:t>
            </w:r>
          </w:p>
        </w:tc>
        <w:tc>
          <w:tcPr>
            <w:tcW w:w="8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91,740</w:t>
            </w:r>
          </w:p>
        </w:tc>
        <w:tc>
          <w:tcPr>
            <w:tcW w:w="0" w:type="dxa"/>
            <w:vAlign w:val="bottom"/>
          </w:tcPr>
          <w:p>
            <w:pPr>
              <w:spacing w:after="0"/>
              <w:rPr>
                <w:sz w:val="1"/>
                <w:szCs w:val="1"/>
                <w:color w:val="auto"/>
              </w:rPr>
            </w:pPr>
          </w:p>
        </w:tc>
      </w:tr>
      <w:tr>
        <w:trPr>
          <w:trHeight w:val="202"/>
        </w:trPr>
        <w:tc>
          <w:tcPr>
            <w:tcW w:w="2720" w:type="dxa"/>
            <w:vAlign w:val="bottom"/>
          </w:tcPr>
          <w:p>
            <w:pPr>
              <w:ind w:left="140"/>
              <w:spacing w:after="0"/>
              <w:rPr>
                <w:sz w:val="20"/>
                <w:szCs w:val="20"/>
                <w:color w:val="auto"/>
              </w:rPr>
            </w:pPr>
            <w:r>
              <w:rPr>
                <w:rFonts w:ascii="Arial" w:cs="Arial" w:eastAsia="Arial" w:hAnsi="Arial"/>
                <w:sz w:val="14"/>
                <w:szCs w:val="14"/>
                <w:color w:val="auto"/>
              </w:rPr>
              <w:t>Provision for credit losses</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(2,093)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5,038</w:t>
            </w:r>
          </w:p>
        </w:tc>
        <w:tc>
          <w:tcPr>
            <w:tcW w:w="0" w:type="dxa"/>
            <w:vAlign w:val="bottom"/>
          </w:tcPr>
          <w:p>
            <w:pPr>
              <w:spacing w:after="0"/>
              <w:rPr>
                <w:sz w:val="1"/>
                <w:szCs w:val="1"/>
                <w:color w:val="auto"/>
              </w:rPr>
            </w:pPr>
          </w:p>
        </w:tc>
      </w:tr>
      <w:tr>
        <w:trPr>
          <w:trHeight w:val="222"/>
        </w:trPr>
        <w:tc>
          <w:tcPr>
            <w:tcW w:w="27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Charged-off</w:t>
            </w:r>
          </w:p>
        </w:tc>
        <w:tc>
          <w:tcPr>
            <w:tcW w:w="18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(5,218)</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24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(5,460)</w:t>
            </w:r>
          </w:p>
        </w:tc>
        <w:tc>
          <w:tcPr>
            <w:tcW w:w="0" w:type="dxa"/>
            <w:vAlign w:val="bottom"/>
          </w:tcPr>
          <w:p>
            <w:pPr>
              <w:spacing w:after="0"/>
              <w:rPr>
                <w:sz w:val="1"/>
                <w:szCs w:val="1"/>
                <w:color w:val="auto"/>
              </w:rPr>
            </w:pPr>
          </w:p>
        </w:tc>
      </w:tr>
      <w:tr>
        <w:trPr>
          <w:trHeight w:val="203"/>
        </w:trPr>
        <w:tc>
          <w:tcPr>
            <w:tcW w:w="2720" w:type="dxa"/>
            <w:vAlign w:val="bottom"/>
          </w:tcPr>
          <w:p>
            <w:pPr>
              <w:ind w:left="140"/>
              <w:spacing w:after="0"/>
              <w:rPr>
                <w:sz w:val="20"/>
                <w:szCs w:val="20"/>
                <w:color w:val="auto"/>
              </w:rPr>
            </w:pPr>
            <w:r>
              <w:rPr>
                <w:rFonts w:ascii="Arial" w:cs="Arial" w:eastAsia="Arial" w:hAnsi="Arial"/>
                <w:sz w:val="14"/>
                <w:szCs w:val="14"/>
                <w:color w:val="auto"/>
              </w:rPr>
              <w:t>Recoveries</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37"/>
        </w:trPr>
        <w:tc>
          <w:tcPr>
            <w:tcW w:w="272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ACL balance, March 31, 2024</w:t>
            </w:r>
          </w:p>
        </w:tc>
        <w:tc>
          <w:tcPr>
            <w:tcW w:w="180" w:type="dxa"/>
            <w:vAlign w:val="bottom"/>
            <w:tcBorders>
              <w:top w:val="single" w:sz="8" w:color="auto"/>
              <w:bottom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26,207</w:t>
            </w:r>
          </w:p>
        </w:tc>
        <w:tc>
          <w:tcPr>
            <w:tcW w:w="100" w:type="dxa"/>
            <w:vAlign w:val="bottom"/>
            <w:tcBorders>
              <w:top w:val="single" w:sz="8" w:color="E0E7ED"/>
              <w:bottom w:val="single" w:sz="8" w:color="E0E7ED"/>
            </w:tcBorders>
            <w:shd w:val="clear" w:color="auto" w:fill="E0E7ED"/>
          </w:tcPr>
          <w:p>
            <w:pPr>
              <w:spacing w:after="0"/>
              <w:rPr>
                <w:sz w:val="20"/>
                <w:szCs w:val="20"/>
                <w:color w:val="auto"/>
              </w:rPr>
            </w:pPr>
          </w:p>
        </w:tc>
        <w:tc>
          <w:tcPr>
            <w:tcW w:w="320" w:type="dxa"/>
            <w:vAlign w:val="bottom"/>
            <w:tcBorders>
              <w:top w:val="single" w:sz="8" w:color="auto"/>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33,505</w:t>
            </w:r>
          </w:p>
        </w:tc>
        <w:tc>
          <w:tcPr>
            <w:tcW w:w="80" w:type="dxa"/>
            <w:vAlign w:val="bottom"/>
            <w:tcBorders>
              <w:top w:val="single" w:sz="8" w:color="E0E7ED"/>
              <w:bottom w:val="single" w:sz="8" w:color="E0E7ED"/>
            </w:tcBorders>
            <w:shd w:val="clear" w:color="auto" w:fill="E0E7ED"/>
          </w:tcPr>
          <w:p>
            <w:pPr>
              <w:spacing w:after="0"/>
              <w:rPr>
                <w:sz w:val="20"/>
                <w:szCs w:val="20"/>
                <w:color w:val="auto"/>
              </w:rPr>
            </w:pPr>
          </w:p>
        </w:tc>
        <w:tc>
          <w:tcPr>
            <w:tcW w:w="200" w:type="dxa"/>
            <w:vAlign w:val="bottom"/>
            <w:tcBorders>
              <w:top w:val="single" w:sz="8" w:color="auto"/>
              <w:bottom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4,713</w:t>
            </w:r>
          </w:p>
        </w:tc>
        <w:tc>
          <w:tcPr>
            <w:tcW w:w="80" w:type="dxa"/>
            <w:vAlign w:val="bottom"/>
            <w:tcBorders>
              <w:top w:val="single" w:sz="8" w:color="E0E7ED"/>
              <w:bottom w:val="single" w:sz="8" w:color="E0E7ED"/>
            </w:tcBorders>
            <w:shd w:val="clear" w:color="auto" w:fill="E0E7ED"/>
          </w:tcPr>
          <w:p>
            <w:pPr>
              <w:spacing w:after="0"/>
              <w:rPr>
                <w:sz w:val="20"/>
                <w:szCs w:val="20"/>
                <w:color w:val="auto"/>
              </w:rPr>
            </w:pPr>
          </w:p>
        </w:tc>
        <w:tc>
          <w:tcPr>
            <w:tcW w:w="240" w:type="dxa"/>
            <w:vAlign w:val="bottom"/>
            <w:tcBorders>
              <w:top w:val="single" w:sz="8" w:color="auto"/>
              <w:bottom w:val="single" w:sz="8" w:color="auto"/>
            </w:tcBorders>
            <w:shd w:val="clear" w:color="auto" w:fill="E0E7ED"/>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24,281</w:t>
            </w:r>
          </w:p>
        </w:tc>
        <w:tc>
          <w:tcPr>
            <w:tcW w:w="80" w:type="dxa"/>
            <w:vAlign w:val="bottom"/>
            <w:tcBorders>
              <w:top w:val="single" w:sz="8" w:color="E0E7ED"/>
              <w:bottom w:val="single" w:sz="8" w:color="E0E7ED"/>
            </w:tcBorders>
            <w:shd w:val="clear" w:color="auto" w:fill="E0E7ED"/>
          </w:tcPr>
          <w:p>
            <w:pPr>
              <w:spacing w:after="0"/>
              <w:rPr>
                <w:sz w:val="20"/>
                <w:szCs w:val="20"/>
                <w:color w:val="auto"/>
              </w:rPr>
            </w:pPr>
          </w:p>
        </w:tc>
        <w:tc>
          <w:tcPr>
            <w:tcW w:w="220" w:type="dxa"/>
            <w:vAlign w:val="bottom"/>
            <w:tcBorders>
              <w:top w:val="single" w:sz="8" w:color="auto"/>
              <w:bottom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2,856</w:t>
            </w:r>
          </w:p>
        </w:tc>
        <w:tc>
          <w:tcPr>
            <w:tcW w:w="80" w:type="dxa"/>
            <w:vAlign w:val="bottom"/>
            <w:tcBorders>
              <w:top w:val="single" w:sz="8" w:color="E0E7ED"/>
              <w:bottom w:val="single" w:sz="8" w:color="E0E7ED"/>
            </w:tcBorders>
            <w:shd w:val="clear" w:color="auto" w:fill="E0E7ED"/>
          </w:tcPr>
          <w:p>
            <w:pPr>
              <w:spacing w:after="0"/>
              <w:rPr>
                <w:sz w:val="20"/>
                <w:szCs w:val="20"/>
                <w:color w:val="auto"/>
              </w:rPr>
            </w:pPr>
          </w:p>
        </w:tc>
        <w:tc>
          <w:tcPr>
            <w:tcW w:w="320" w:type="dxa"/>
            <w:vAlign w:val="bottom"/>
            <w:tcBorders>
              <w:top w:val="single" w:sz="8" w:color="auto"/>
              <w:bottom w:val="single" w:sz="8" w:color="auto"/>
            </w:tcBorders>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91,562</w:t>
            </w:r>
          </w:p>
        </w:tc>
        <w:tc>
          <w:tcPr>
            <w:tcW w:w="0" w:type="dxa"/>
            <w:vAlign w:val="bottom"/>
          </w:tcPr>
          <w:p>
            <w:pPr>
              <w:spacing w:after="0"/>
              <w:rPr>
                <w:sz w:val="1"/>
                <w:szCs w:val="1"/>
                <w:color w:val="auto"/>
              </w:rPr>
            </w:pPr>
          </w:p>
        </w:tc>
      </w:tr>
      <w:tr>
        <w:trPr>
          <w:trHeight w:val="20"/>
        </w:trPr>
        <w:tc>
          <w:tcPr>
            <w:tcW w:w="27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charge-offs during the three months ended March 31, 2025, included $29.6 million related to PCD loans acquired from CrossFirst Bank, which were fully reserved at acquisition and did not require recording additional provision expense.</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LEASES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Busey as the Lessee</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 xml:space="preserve">Busey has operating leases consisting primarily of equipment leases and real estate leases for banking centers, ATM locations, and office space. The following table summarizes lease-related balances that Busey reported on its </w:t>
      </w:r>
      <w:r>
        <w:rPr>
          <w:rFonts w:ascii="Arial" w:cs="Arial" w:eastAsia="Arial" w:hAnsi="Arial"/>
          <w:sz w:val="14"/>
          <w:szCs w:val="14"/>
          <w:u w:val="single" w:color="auto"/>
          <w:color w:val="0000FF"/>
        </w:rPr>
        <w:t>Consolidated Balance Sheets (Unaudited)</w:t>
      </w:r>
      <w:r>
        <w:rPr>
          <w:rFonts w:ascii="Arial" w:cs="Arial" w:eastAsia="Arial" w:hAnsi="Arial"/>
          <w:sz w:val="14"/>
          <w:szCs w:val="14"/>
          <w:color w:val="auto"/>
        </w:rPr>
        <w:t xml:space="preserve"> and lease terms: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As of</w:t>
            </w: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24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00" w:type="dxa"/>
            <w:vAlign w:val="bottom"/>
          </w:tcPr>
          <w:p>
            <w:pPr>
              <w:spacing w:after="0"/>
              <w:rPr>
                <w:sz w:val="9"/>
                <w:szCs w:val="9"/>
                <w:color w:val="auto"/>
              </w:rPr>
            </w:pPr>
          </w:p>
        </w:tc>
        <w:tc>
          <w:tcPr>
            <w:tcW w:w="1260" w:type="dxa"/>
            <w:vAlign w:val="bottom"/>
            <w:gridSpan w:val="2"/>
          </w:tcPr>
          <w:p>
            <w:pPr>
              <w:ind w:left="180"/>
              <w:spacing w:after="0" w:line="107" w:lineRule="exact"/>
              <w:rPr>
                <w:sz w:val="20"/>
                <w:szCs w:val="20"/>
                <w:color w:val="auto"/>
              </w:rPr>
            </w:pPr>
            <w:r>
              <w:rPr>
                <w:rFonts w:ascii="Arial" w:cs="Arial" w:eastAsia="Arial" w:hAnsi="Arial"/>
                <w:sz w:val="11"/>
                <w:szCs w:val="11"/>
                <w:b w:val="1"/>
                <w:bCs w:val="1"/>
                <w:color w:val="auto"/>
              </w:rPr>
              <w:t>March 31,</w:t>
            </w:r>
          </w:p>
        </w:tc>
        <w:tc>
          <w:tcPr>
            <w:tcW w:w="240" w:type="dxa"/>
            <w:vAlign w:val="bottom"/>
          </w:tcPr>
          <w:p>
            <w:pPr>
              <w:spacing w:after="0"/>
              <w:rPr>
                <w:sz w:val="9"/>
                <w:szCs w:val="9"/>
                <w:color w:val="auto"/>
              </w:rPr>
            </w:pPr>
          </w:p>
        </w:tc>
        <w:tc>
          <w:tcPr>
            <w:tcW w:w="1240" w:type="dxa"/>
            <w:vAlign w:val="bottom"/>
          </w:tcPr>
          <w:p>
            <w:pPr>
              <w:jc w:val="right"/>
              <w:ind w:right="293"/>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240" w:type="dxa"/>
            <w:vAlign w:val="bottom"/>
            <w:tcBorders>
              <w:bottom w:val="single" w:sz="8" w:color="E0E7ED"/>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Lease balances</w:t>
            </w:r>
          </w:p>
        </w:tc>
        <w:tc>
          <w:tcPr>
            <w:tcW w:w="300" w:type="dxa"/>
            <w:vAlign w:val="bottom"/>
            <w:shd w:val="clear" w:color="auto" w:fill="E0E7ED"/>
          </w:tcPr>
          <w:p>
            <w:pPr>
              <w:spacing w:after="0"/>
              <w:rPr>
                <w:sz w:val="16"/>
                <w:szCs w:val="16"/>
                <w:color w:val="auto"/>
              </w:rPr>
            </w:pPr>
          </w:p>
        </w:tc>
        <w:tc>
          <w:tcPr>
            <w:tcW w:w="11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240" w:type="dxa"/>
            <w:vAlign w:val="bottom"/>
          </w:tcPr>
          <w:p>
            <w:pPr>
              <w:ind w:left="140"/>
              <w:spacing w:after="0"/>
              <w:rPr>
                <w:sz w:val="20"/>
                <w:szCs w:val="20"/>
                <w:color w:val="auto"/>
              </w:rPr>
            </w:pPr>
            <w:r>
              <w:rPr>
                <w:rFonts w:ascii="Arial" w:cs="Arial" w:eastAsia="Arial" w:hAnsi="Arial"/>
                <w:sz w:val="14"/>
                <w:szCs w:val="14"/>
                <w:color w:val="auto"/>
              </w:rPr>
              <w:t>Right of use assets</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5"/>
              <w:spacing w:after="0"/>
              <w:rPr>
                <w:sz w:val="20"/>
                <w:szCs w:val="20"/>
                <w:color w:val="auto"/>
              </w:rPr>
            </w:pPr>
            <w:r>
              <w:rPr>
                <w:rFonts w:ascii="Arial" w:cs="Arial" w:eastAsia="Arial" w:hAnsi="Arial"/>
                <w:sz w:val="14"/>
                <w:szCs w:val="14"/>
                <w:color w:val="auto"/>
              </w:rPr>
              <w:t>40,594</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3"/>
              <w:spacing w:after="0"/>
              <w:rPr>
                <w:sz w:val="20"/>
                <w:szCs w:val="20"/>
                <w:color w:val="auto"/>
              </w:rPr>
            </w:pPr>
            <w:r>
              <w:rPr>
                <w:rFonts w:ascii="Arial" w:cs="Arial" w:eastAsia="Arial" w:hAnsi="Arial"/>
                <w:sz w:val="14"/>
                <w:szCs w:val="14"/>
                <w:color w:val="auto"/>
              </w:rPr>
              <w:t>10,608</w:t>
            </w:r>
          </w:p>
        </w:tc>
        <w:tc>
          <w:tcPr>
            <w:tcW w:w="0" w:type="dxa"/>
            <w:vAlign w:val="bottom"/>
          </w:tcPr>
          <w:p>
            <w:pPr>
              <w:spacing w:after="0"/>
              <w:rPr>
                <w:sz w:val="1"/>
                <w:szCs w:val="1"/>
                <w:color w:val="auto"/>
              </w:rPr>
            </w:pPr>
          </w:p>
        </w:tc>
      </w:tr>
      <w:tr>
        <w:trPr>
          <w:trHeight w:val="222"/>
        </w:trPr>
        <w:tc>
          <w:tcPr>
            <w:tcW w:w="82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Lease liabilities</w:t>
            </w:r>
          </w:p>
        </w:tc>
        <w:tc>
          <w:tcPr>
            <w:tcW w:w="300" w:type="dxa"/>
            <w:vAlign w:val="bottom"/>
            <w:shd w:val="clear" w:color="auto" w:fill="E0E7ED"/>
          </w:tcPr>
          <w:p>
            <w:pPr>
              <w:spacing w:after="0"/>
              <w:rPr>
                <w:sz w:val="19"/>
                <w:szCs w:val="19"/>
                <w:color w:val="auto"/>
              </w:rPr>
            </w:pPr>
          </w:p>
        </w:tc>
        <w:tc>
          <w:tcPr>
            <w:tcW w:w="1180" w:type="dxa"/>
            <w:vAlign w:val="bottom"/>
            <w:shd w:val="clear" w:color="auto" w:fill="E0E7ED"/>
          </w:tcPr>
          <w:p>
            <w:pPr>
              <w:jc w:val="right"/>
              <w:ind w:right="115"/>
              <w:spacing w:after="0"/>
              <w:rPr>
                <w:sz w:val="20"/>
                <w:szCs w:val="20"/>
                <w:color w:val="auto"/>
              </w:rPr>
            </w:pPr>
            <w:r>
              <w:rPr>
                <w:rFonts w:ascii="Arial" w:cs="Arial" w:eastAsia="Arial" w:hAnsi="Arial"/>
                <w:sz w:val="14"/>
                <w:szCs w:val="14"/>
                <w:color w:val="auto"/>
              </w:rPr>
              <w:t>41,111</w:t>
            </w: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40" w:type="dxa"/>
            <w:vAlign w:val="bottom"/>
            <w:shd w:val="clear" w:color="auto" w:fill="E0E7ED"/>
          </w:tcPr>
          <w:p>
            <w:pPr>
              <w:jc w:val="right"/>
              <w:ind w:right="113"/>
              <w:spacing w:after="0"/>
              <w:rPr>
                <w:sz w:val="20"/>
                <w:szCs w:val="20"/>
                <w:color w:val="auto"/>
              </w:rPr>
            </w:pPr>
            <w:r>
              <w:rPr>
                <w:rFonts w:ascii="Arial" w:cs="Arial" w:eastAsia="Arial" w:hAnsi="Arial"/>
                <w:sz w:val="14"/>
                <w:szCs w:val="14"/>
                <w:color w:val="auto"/>
              </w:rPr>
              <w:t>11,040</w:t>
            </w:r>
          </w:p>
        </w:tc>
        <w:tc>
          <w:tcPr>
            <w:tcW w:w="0" w:type="dxa"/>
            <w:vAlign w:val="bottom"/>
          </w:tcPr>
          <w:p>
            <w:pPr>
              <w:spacing w:after="0"/>
              <w:rPr>
                <w:sz w:val="1"/>
                <w:szCs w:val="1"/>
                <w:color w:val="auto"/>
              </w:rPr>
            </w:pPr>
          </w:p>
        </w:tc>
      </w:tr>
      <w:tr>
        <w:trPr>
          <w:trHeight w:val="212"/>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Lease terms</w:t>
            </w: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40" w:type="dxa"/>
            <w:vAlign w:val="bottom"/>
          </w:tcPr>
          <w:p>
            <w:pPr>
              <w:ind w:left="140"/>
              <w:spacing w:after="0"/>
              <w:rPr>
                <w:sz w:val="20"/>
                <w:szCs w:val="20"/>
                <w:color w:val="auto"/>
              </w:rPr>
            </w:pPr>
            <w:r>
              <w:rPr>
                <w:rFonts w:ascii="Arial" w:cs="Arial" w:eastAsia="Arial" w:hAnsi="Arial"/>
                <w:sz w:val="14"/>
                <w:szCs w:val="14"/>
                <w:color w:val="auto"/>
              </w:rPr>
              <w:t>Year through which lease terms extend</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22"/>
        </w:trPr>
        <w:tc>
          <w:tcPr>
            <w:tcW w:w="82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Weighted average remaining lease term</w:t>
            </w:r>
          </w:p>
        </w:tc>
        <w:tc>
          <w:tcPr>
            <w:tcW w:w="300" w:type="dxa"/>
            <w:vAlign w:val="bottom"/>
            <w:shd w:val="clear" w:color="auto" w:fill="E0E7ED"/>
          </w:tcPr>
          <w:p>
            <w:pPr>
              <w:spacing w:after="0"/>
              <w:rPr>
                <w:sz w:val="19"/>
                <w:szCs w:val="19"/>
                <w:color w:val="auto"/>
              </w:rPr>
            </w:pPr>
          </w:p>
        </w:tc>
        <w:tc>
          <w:tcPr>
            <w:tcW w:w="1260" w:type="dxa"/>
            <w:vAlign w:val="bottom"/>
            <w:gridSpan w:val="2"/>
            <w:shd w:val="clear" w:color="auto" w:fill="E0E7ED"/>
          </w:tcPr>
          <w:p>
            <w:pPr>
              <w:jc w:val="right"/>
              <w:ind w:right="100"/>
              <w:spacing w:after="0"/>
              <w:rPr>
                <w:sz w:val="20"/>
                <w:szCs w:val="20"/>
                <w:color w:val="auto"/>
              </w:rPr>
            </w:pPr>
            <w:r>
              <w:rPr>
                <w:rFonts w:ascii="Arial" w:cs="Arial" w:eastAsia="Arial" w:hAnsi="Arial"/>
                <w:sz w:val="14"/>
                <w:szCs w:val="14"/>
                <w:color w:val="auto"/>
              </w:rPr>
              <w:t>9.10 years</w:t>
            </w:r>
          </w:p>
        </w:tc>
        <w:tc>
          <w:tcPr>
            <w:tcW w:w="240" w:type="dxa"/>
            <w:vAlign w:val="bottom"/>
            <w:shd w:val="clear" w:color="auto" w:fill="E0E7ED"/>
          </w:tcPr>
          <w:p>
            <w:pPr>
              <w:spacing w:after="0"/>
              <w:rPr>
                <w:sz w:val="19"/>
                <w:szCs w:val="19"/>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7.55 years</w:t>
            </w:r>
          </w:p>
        </w:tc>
        <w:tc>
          <w:tcPr>
            <w:tcW w:w="0" w:type="dxa"/>
            <w:vAlign w:val="bottom"/>
          </w:tcPr>
          <w:p>
            <w:pPr>
              <w:spacing w:after="0"/>
              <w:rPr>
                <w:sz w:val="1"/>
                <w:szCs w:val="1"/>
                <w:color w:val="auto"/>
              </w:rPr>
            </w:pPr>
          </w:p>
        </w:tc>
      </w:tr>
      <w:tr>
        <w:trPr>
          <w:trHeight w:val="193"/>
        </w:trPr>
        <w:tc>
          <w:tcPr>
            <w:tcW w:w="8240" w:type="dxa"/>
            <w:vAlign w:val="bottom"/>
          </w:tcPr>
          <w:p>
            <w:pPr>
              <w:ind w:left="140"/>
              <w:spacing w:after="0"/>
              <w:rPr>
                <w:sz w:val="20"/>
                <w:szCs w:val="20"/>
                <w:color w:val="auto"/>
              </w:rPr>
            </w:pPr>
            <w:r>
              <w:rPr>
                <w:rFonts w:ascii="Arial" w:cs="Arial" w:eastAsia="Arial" w:hAnsi="Arial"/>
                <w:sz w:val="14"/>
                <w:szCs w:val="14"/>
                <w:color w:val="auto"/>
              </w:rPr>
              <w:t>Weighted average discount rate</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4.38 %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3.77 %</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presents lease costs, which are included in net occupancy and equipment expense in the </w:t>
      </w:r>
      <w:r>
        <w:rPr>
          <w:rFonts w:ascii="Arial" w:cs="Arial" w:eastAsia="Arial" w:hAnsi="Arial"/>
          <w:sz w:val="14"/>
          <w:szCs w:val="14"/>
          <w:u w:val="single" w:color="auto"/>
          <w:color w:val="0000FF"/>
        </w:rPr>
        <w:t>Consolidated Statements of Income (Unaudited)</w:t>
      </w:r>
      <w:r>
        <w:rPr>
          <w:rFonts w:ascii="Arial" w:cs="Arial" w:eastAsia="Arial" w:hAnsi="Arial"/>
          <w:sz w:val="14"/>
          <w:szCs w:val="14"/>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ind w:left="260"/>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2024</w:t>
            </w: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Lease costs</w:t>
            </w: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Operating lease costs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535</w:t>
            </w: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Variable lease costs</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w:t>
            </w:r>
          </w:p>
        </w:tc>
      </w:tr>
      <w:tr>
        <w:trPr>
          <w:trHeight w:val="203"/>
        </w:trPr>
        <w:tc>
          <w:tcPr>
            <w:tcW w:w="8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Short-term lease costs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1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lease cost</w:t>
            </w:r>
          </w:p>
        </w:tc>
        <w:tc>
          <w:tcPr>
            <w:tcW w:w="320" w:type="dxa"/>
            <w:vAlign w:val="bottom"/>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984</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562</w:t>
            </w:r>
          </w:p>
        </w:tc>
      </w:tr>
      <w:tr>
        <w:trPr>
          <w:trHeight w:val="384"/>
        </w:trPr>
        <w:tc>
          <w:tcPr>
            <w:tcW w:w="8460" w:type="dxa"/>
            <w:vAlign w:val="bottom"/>
          </w:tcPr>
          <w:p>
            <w:pPr>
              <w:spacing w:after="0"/>
              <w:rPr>
                <w:sz w:val="20"/>
                <w:szCs w:val="20"/>
                <w:color w:val="auto"/>
              </w:rPr>
            </w:pPr>
            <w:r>
              <w:rPr>
                <w:rFonts w:ascii="Arial" w:cs="Arial" w:eastAsia="Arial" w:hAnsi="Arial"/>
                <w:sz w:val="14"/>
                <w:szCs w:val="14"/>
                <w:color w:val="auto"/>
              </w:rPr>
              <w:t>Cash paid for amounts included in the measurement of lease liabilities was as follows: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6"/>
        </w:trPr>
        <w:tc>
          <w:tcPr>
            <w:tcW w:w="8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ind w:left="260"/>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2024</w:t>
            </w: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Cash flows related to leases</w:t>
            </w: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Operating lease cash flows – Fixed payments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507</w:t>
            </w: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Operating lease cash flows – Liability reduction</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411</w:t>
            </w:r>
          </w:p>
        </w:tc>
      </w:tr>
      <w:tr>
        <w:trPr>
          <w:trHeight w:val="259"/>
        </w:trPr>
        <w:tc>
          <w:tcPr>
            <w:tcW w:w="8460" w:type="dxa"/>
            <w:vAlign w:val="bottom"/>
          </w:tcPr>
          <w:p>
            <w:pPr>
              <w:ind w:left="140"/>
              <w:spacing w:after="0"/>
              <w:rPr>
                <w:sz w:val="20"/>
                <w:szCs w:val="20"/>
                <w:color w:val="auto"/>
              </w:rPr>
            </w:pPr>
            <w:r>
              <w:rPr>
                <w:rFonts w:ascii="Arial" w:cs="Arial" w:eastAsia="Arial" w:hAnsi="Arial"/>
                <w:sz w:val="14"/>
                <w:szCs w:val="14"/>
                <w:color w:val="auto"/>
              </w:rPr>
              <w:t>Right of use assets obtained during the period in exchange for operating lease liabilities</w:t>
            </w:r>
            <w:r>
              <w:rPr>
                <w:rFonts w:ascii="Arial" w:cs="Arial" w:eastAsia="Arial" w:hAnsi="Arial"/>
                <w:sz w:val="18"/>
                <w:szCs w:val="18"/>
                <w:color w:val="auto"/>
                <w:vertAlign w:val="superscript"/>
              </w:rPr>
              <w:t>1</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30,733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 xml:space="preserve">The three months ended March 31, 2025, included $30.7 million right of use assets recognized in connection with the acquisition of CrossFirst (see </w:t>
      </w:r>
      <w:r>
        <w:rPr>
          <w:rFonts w:ascii="Arial" w:cs="Arial" w:eastAsia="Arial" w:hAnsi="Arial"/>
          <w:sz w:val="11"/>
          <w:szCs w:val="11"/>
          <w:i w:val="1"/>
          <w:iCs w:val="1"/>
          <w:color w:val="auto"/>
        </w:rPr>
        <w:t>“</w:t>
      </w:r>
      <w:r>
        <w:rPr>
          <w:rFonts w:ascii="Arial" w:cs="Arial" w:eastAsia="Arial" w:hAnsi="Arial"/>
          <w:sz w:val="11"/>
          <w:szCs w:val="11"/>
          <w:i w:val="1"/>
          <w:iCs w:val="1"/>
          <w:u w:val="single" w:color="auto"/>
          <w:color w:val="0000FF"/>
        </w:rPr>
        <w:t>Note 2. Mergers and Acquisitions</w:t>
      </w:r>
      <w:r>
        <w:rPr>
          <w:rFonts w:ascii="Arial" w:cs="Arial" w:eastAsia="Arial" w:hAnsi="Arial"/>
          <w:sz w:val="11"/>
          <w:szCs w:val="11"/>
          <w:i w:val="1"/>
          <w:iCs w:val="1"/>
          <w:color w:val="auto"/>
        </w:rPr>
        <w:t>”</w:t>
      </w:r>
      <w:r>
        <w:rPr>
          <w:rFonts w:ascii="Arial" w:cs="Arial" w:eastAsia="Arial" w:hAnsi="Arial"/>
          <w:sz w:val="11"/>
          <w:szCs w:val="11"/>
          <w:color w:val="auto"/>
        </w:rPr>
        <w:t>).</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Busey was obligated under noncancelable operating leases for office space and other commitments. Future undiscounted lease payments with initial terms of one year or more,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92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80" w:type="dxa"/>
            <w:vAlign w:val="bottom"/>
          </w:tcPr>
          <w:p>
            <w:pPr>
              <w:spacing w:after="0"/>
              <w:rPr>
                <w:sz w:val="10"/>
                <w:szCs w:val="10"/>
                <w:color w:val="auto"/>
              </w:rPr>
            </w:pPr>
          </w:p>
        </w:tc>
        <w:tc>
          <w:tcPr>
            <w:tcW w:w="1180" w:type="dxa"/>
            <w:vAlign w:val="bottom"/>
          </w:tcPr>
          <w:p>
            <w:pPr>
              <w:jc w:val="right"/>
              <w:ind w:right="492"/>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38"/>
        </w:trPr>
        <w:tc>
          <w:tcPr>
            <w:tcW w:w="9920" w:type="dxa"/>
            <w:vAlign w:val="bottom"/>
            <w:tcBorders>
              <w:bottom w:val="single" w:sz="8" w:color="E0E7ED"/>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March 31, 2025</w:t>
            </w:r>
          </w:p>
        </w:tc>
        <w:tc>
          <w:tcPr>
            <w:tcW w:w="0" w:type="dxa"/>
            <w:vAlign w:val="bottom"/>
          </w:tcPr>
          <w:p>
            <w:pPr>
              <w:spacing w:after="0"/>
              <w:rPr>
                <w:sz w:val="1"/>
                <w:szCs w:val="1"/>
                <w:color w:val="auto"/>
              </w:rPr>
            </w:pPr>
          </w:p>
        </w:tc>
      </w:tr>
      <w:tr>
        <w:trPr>
          <w:trHeight w:val="192"/>
        </w:trPr>
        <w:tc>
          <w:tcPr>
            <w:tcW w:w="992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Rent commitments</w:t>
            </w: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920" w:type="dxa"/>
            <w:vAlign w:val="bottom"/>
          </w:tcPr>
          <w:p>
            <w:pPr>
              <w:ind w:left="140"/>
              <w:spacing w:after="0"/>
              <w:rPr>
                <w:sz w:val="20"/>
                <w:szCs w:val="20"/>
                <w:color w:val="auto"/>
              </w:rPr>
            </w:pPr>
            <w:r>
              <w:rPr>
                <w:rFonts w:ascii="Arial" w:cs="Arial" w:eastAsia="Arial" w:hAnsi="Arial"/>
                <w:sz w:val="14"/>
                <w:szCs w:val="14"/>
                <w:color w:val="auto"/>
              </w:rPr>
              <w:t>Remainder of 2025</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5,845</w:t>
            </w:r>
          </w:p>
        </w:tc>
        <w:tc>
          <w:tcPr>
            <w:tcW w:w="0" w:type="dxa"/>
            <w:vAlign w:val="bottom"/>
          </w:tcPr>
          <w:p>
            <w:pPr>
              <w:spacing w:after="0"/>
              <w:rPr>
                <w:sz w:val="1"/>
                <w:szCs w:val="1"/>
                <w:color w:val="auto"/>
              </w:rPr>
            </w:pPr>
          </w:p>
        </w:tc>
      </w:tr>
      <w:tr>
        <w:trPr>
          <w:trHeight w:val="222"/>
        </w:trPr>
        <w:tc>
          <w:tcPr>
            <w:tcW w:w="99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2026</w:t>
            </w: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6,548</w:t>
            </w:r>
          </w:p>
        </w:tc>
        <w:tc>
          <w:tcPr>
            <w:tcW w:w="0" w:type="dxa"/>
            <w:vAlign w:val="bottom"/>
          </w:tcPr>
          <w:p>
            <w:pPr>
              <w:spacing w:after="0"/>
              <w:rPr>
                <w:sz w:val="1"/>
                <w:szCs w:val="1"/>
                <w:color w:val="auto"/>
              </w:rPr>
            </w:pPr>
          </w:p>
        </w:tc>
      </w:tr>
      <w:tr>
        <w:trPr>
          <w:trHeight w:val="202"/>
        </w:trPr>
        <w:tc>
          <w:tcPr>
            <w:tcW w:w="9920" w:type="dxa"/>
            <w:vAlign w:val="bottom"/>
          </w:tcPr>
          <w:p>
            <w:pPr>
              <w:ind w:left="140"/>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6,116</w:t>
            </w:r>
          </w:p>
        </w:tc>
        <w:tc>
          <w:tcPr>
            <w:tcW w:w="0" w:type="dxa"/>
            <w:vAlign w:val="bottom"/>
          </w:tcPr>
          <w:p>
            <w:pPr>
              <w:spacing w:after="0"/>
              <w:rPr>
                <w:sz w:val="1"/>
                <w:szCs w:val="1"/>
                <w:color w:val="auto"/>
              </w:rPr>
            </w:pPr>
          </w:p>
        </w:tc>
      </w:tr>
      <w:tr>
        <w:trPr>
          <w:trHeight w:val="222"/>
        </w:trPr>
        <w:tc>
          <w:tcPr>
            <w:tcW w:w="99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2028</w:t>
            </w: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5,648</w:t>
            </w:r>
          </w:p>
        </w:tc>
        <w:tc>
          <w:tcPr>
            <w:tcW w:w="0" w:type="dxa"/>
            <w:vAlign w:val="bottom"/>
          </w:tcPr>
          <w:p>
            <w:pPr>
              <w:spacing w:after="0"/>
              <w:rPr>
                <w:sz w:val="1"/>
                <w:szCs w:val="1"/>
                <w:color w:val="auto"/>
              </w:rPr>
            </w:pPr>
          </w:p>
        </w:tc>
      </w:tr>
      <w:tr>
        <w:trPr>
          <w:trHeight w:val="202"/>
        </w:trPr>
        <w:tc>
          <w:tcPr>
            <w:tcW w:w="9920" w:type="dxa"/>
            <w:vAlign w:val="bottom"/>
          </w:tcPr>
          <w:p>
            <w:pPr>
              <w:ind w:left="140"/>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4,671</w:t>
            </w:r>
          </w:p>
        </w:tc>
        <w:tc>
          <w:tcPr>
            <w:tcW w:w="0" w:type="dxa"/>
            <w:vAlign w:val="bottom"/>
          </w:tcPr>
          <w:p>
            <w:pPr>
              <w:spacing w:after="0"/>
              <w:rPr>
                <w:sz w:val="1"/>
                <w:szCs w:val="1"/>
                <w:color w:val="auto"/>
              </w:rPr>
            </w:pPr>
          </w:p>
        </w:tc>
      </w:tr>
      <w:tr>
        <w:trPr>
          <w:trHeight w:val="222"/>
        </w:trPr>
        <w:tc>
          <w:tcPr>
            <w:tcW w:w="99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2030</w:t>
            </w: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3,796</w:t>
            </w:r>
          </w:p>
        </w:tc>
        <w:tc>
          <w:tcPr>
            <w:tcW w:w="0" w:type="dxa"/>
            <w:vAlign w:val="bottom"/>
          </w:tcPr>
          <w:p>
            <w:pPr>
              <w:spacing w:after="0"/>
              <w:rPr>
                <w:sz w:val="1"/>
                <w:szCs w:val="1"/>
                <w:color w:val="auto"/>
              </w:rPr>
            </w:pPr>
          </w:p>
        </w:tc>
      </w:tr>
      <w:tr>
        <w:trPr>
          <w:trHeight w:val="203"/>
        </w:trPr>
        <w:tc>
          <w:tcPr>
            <w:tcW w:w="992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Thereafter</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17,783</w:t>
            </w:r>
          </w:p>
        </w:tc>
        <w:tc>
          <w:tcPr>
            <w:tcW w:w="0" w:type="dxa"/>
            <w:vAlign w:val="bottom"/>
          </w:tcPr>
          <w:p>
            <w:pPr>
              <w:spacing w:after="0"/>
              <w:rPr>
                <w:sz w:val="1"/>
                <w:szCs w:val="1"/>
                <w:color w:val="auto"/>
              </w:rPr>
            </w:pPr>
          </w:p>
        </w:tc>
      </w:tr>
      <w:tr>
        <w:trPr>
          <w:trHeight w:val="212"/>
        </w:trPr>
        <w:tc>
          <w:tcPr>
            <w:tcW w:w="992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undiscounted cash flows</w:t>
            </w:r>
          </w:p>
        </w:tc>
        <w:tc>
          <w:tcPr>
            <w:tcW w:w="18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50,407</w:t>
            </w:r>
          </w:p>
        </w:tc>
        <w:tc>
          <w:tcPr>
            <w:tcW w:w="0" w:type="dxa"/>
            <w:vAlign w:val="bottom"/>
          </w:tcPr>
          <w:p>
            <w:pPr>
              <w:spacing w:after="0"/>
              <w:rPr>
                <w:sz w:val="1"/>
                <w:szCs w:val="1"/>
                <w:color w:val="auto"/>
              </w:rPr>
            </w:pPr>
          </w:p>
        </w:tc>
      </w:tr>
      <w:tr>
        <w:trPr>
          <w:trHeight w:val="203"/>
        </w:trPr>
        <w:tc>
          <w:tcPr>
            <w:tcW w:w="9920" w:type="dxa"/>
            <w:vAlign w:val="bottom"/>
            <w:tcBorders>
              <w:bottom w:val="single" w:sz="8" w:color="E0E7ED"/>
            </w:tcBorders>
          </w:tcPr>
          <w:p>
            <w:pPr>
              <w:ind w:left="20"/>
              <w:spacing w:after="0"/>
              <w:rPr>
                <w:sz w:val="20"/>
                <w:szCs w:val="20"/>
                <w:color w:val="auto"/>
              </w:rPr>
            </w:pPr>
            <w:r>
              <w:rPr>
                <w:rFonts w:ascii="Arial" w:cs="Arial" w:eastAsia="Arial" w:hAnsi="Arial"/>
                <w:sz w:val="14"/>
                <w:szCs w:val="14"/>
                <w:color w:val="auto"/>
              </w:rPr>
              <w:t>Less: Amounts representing interest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9,296</w:t>
            </w:r>
          </w:p>
        </w:tc>
        <w:tc>
          <w:tcPr>
            <w:tcW w:w="0" w:type="dxa"/>
            <w:vAlign w:val="bottom"/>
          </w:tcPr>
          <w:p>
            <w:pPr>
              <w:spacing w:after="0"/>
              <w:rPr>
                <w:sz w:val="1"/>
                <w:szCs w:val="1"/>
                <w:color w:val="auto"/>
              </w:rPr>
            </w:pPr>
          </w:p>
        </w:tc>
      </w:tr>
      <w:tr>
        <w:trPr>
          <w:trHeight w:val="237"/>
        </w:trPr>
        <w:tc>
          <w:tcPr>
            <w:tcW w:w="99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Present value of net future minimum lease payments</w:t>
            </w:r>
          </w:p>
        </w:tc>
        <w:tc>
          <w:tcPr>
            <w:tcW w:w="180" w:type="dxa"/>
            <w:vAlign w:val="bottom"/>
            <w:tcBorders>
              <w:bottom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41,111</w:t>
            </w:r>
          </w:p>
        </w:tc>
        <w:tc>
          <w:tcPr>
            <w:tcW w:w="0" w:type="dxa"/>
            <w:vAlign w:val="bottom"/>
          </w:tcPr>
          <w:p>
            <w:pPr>
              <w:spacing w:after="0"/>
              <w:rPr>
                <w:sz w:val="1"/>
                <w:szCs w:val="1"/>
                <w:color w:val="auto"/>
              </w:rPr>
            </w:pPr>
          </w:p>
        </w:tc>
      </w:tr>
      <w:tr>
        <w:trPr>
          <w:trHeight w:val="20"/>
        </w:trPr>
        <w:tc>
          <w:tcPr>
            <w:tcW w:w="99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As of March 31, 2025, Busey had commitments totaling $5.7 million for two lease contracts with future accounting commencement dates.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Busey as the Lessor</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Busey leases office and parking spaces to outside parties. Revenues recorded in connection with these leases, reported in other income on Busey’s </w:t>
      </w:r>
      <w:r>
        <w:rPr>
          <w:rFonts w:ascii="Arial" w:cs="Arial" w:eastAsia="Arial" w:hAnsi="Arial"/>
          <w:sz w:val="14"/>
          <w:szCs w:val="14"/>
          <w:u w:val="single" w:color="auto"/>
          <w:color w:val="0000FF"/>
        </w:rPr>
        <w:t>Consolidated Statements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Income (Unaudited)</w:t>
      </w:r>
      <w:r>
        <w:rPr>
          <w:rFonts w:ascii="Arial" w:cs="Arial" w:eastAsia="Arial" w:hAnsi="Arial"/>
          <w:sz w:val="14"/>
          <w:szCs w:val="14"/>
          <w:color w:val="000000"/>
        </w:rPr>
        <w:t>,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ind w:left="260"/>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2024</w:t>
            </w:r>
          </w:p>
        </w:tc>
      </w:tr>
      <w:tr>
        <w:trPr>
          <w:trHeight w:val="203"/>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Rental income</w:t>
            </w:r>
          </w:p>
        </w:tc>
        <w:tc>
          <w:tcPr>
            <w:tcW w:w="320" w:type="dxa"/>
            <w:vAlign w:val="bottom"/>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202</w:t>
            </w:r>
          </w:p>
        </w:tc>
      </w:tr>
    </w:tbl>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Noncancellable terms for these leases, all of which are operating leases, extend through 2030. Under the terms of these lease agreements, Busey is entitled to receive aggregate future minimum lease payments as shown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92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80" w:type="dxa"/>
            <w:vAlign w:val="bottom"/>
          </w:tcPr>
          <w:p>
            <w:pPr>
              <w:spacing w:after="0"/>
              <w:rPr>
                <w:sz w:val="10"/>
                <w:szCs w:val="10"/>
                <w:color w:val="auto"/>
              </w:rPr>
            </w:pPr>
          </w:p>
        </w:tc>
        <w:tc>
          <w:tcPr>
            <w:tcW w:w="1180" w:type="dxa"/>
            <w:vAlign w:val="bottom"/>
          </w:tcPr>
          <w:p>
            <w:pPr>
              <w:jc w:val="right"/>
              <w:ind w:right="492"/>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38"/>
        </w:trPr>
        <w:tc>
          <w:tcPr>
            <w:tcW w:w="9920" w:type="dxa"/>
            <w:vAlign w:val="bottom"/>
            <w:tcBorders>
              <w:bottom w:val="single" w:sz="8" w:color="E0E7ED"/>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March 31, 2025</w:t>
            </w:r>
          </w:p>
        </w:tc>
        <w:tc>
          <w:tcPr>
            <w:tcW w:w="0" w:type="dxa"/>
            <w:vAlign w:val="bottom"/>
          </w:tcPr>
          <w:p>
            <w:pPr>
              <w:spacing w:after="0"/>
              <w:rPr>
                <w:sz w:val="1"/>
                <w:szCs w:val="1"/>
                <w:color w:val="auto"/>
              </w:rPr>
            </w:pPr>
          </w:p>
        </w:tc>
      </w:tr>
      <w:tr>
        <w:trPr>
          <w:trHeight w:val="192"/>
        </w:trPr>
        <w:tc>
          <w:tcPr>
            <w:tcW w:w="992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Rents to be received</w:t>
            </w: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920" w:type="dxa"/>
            <w:vAlign w:val="bottom"/>
          </w:tcPr>
          <w:p>
            <w:pPr>
              <w:ind w:left="140"/>
              <w:spacing w:after="0"/>
              <w:rPr>
                <w:sz w:val="20"/>
                <w:szCs w:val="20"/>
                <w:color w:val="auto"/>
              </w:rPr>
            </w:pPr>
            <w:r>
              <w:rPr>
                <w:rFonts w:ascii="Arial" w:cs="Arial" w:eastAsia="Arial" w:hAnsi="Arial"/>
                <w:sz w:val="14"/>
                <w:szCs w:val="14"/>
                <w:color w:val="auto"/>
              </w:rPr>
              <w:t>Remainder of 2025</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22"/>
        </w:trPr>
        <w:tc>
          <w:tcPr>
            <w:tcW w:w="99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2026</w:t>
            </w: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2"/>
        </w:trPr>
        <w:tc>
          <w:tcPr>
            <w:tcW w:w="9920" w:type="dxa"/>
            <w:vAlign w:val="bottom"/>
          </w:tcPr>
          <w:p>
            <w:pPr>
              <w:ind w:left="140"/>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222"/>
        </w:trPr>
        <w:tc>
          <w:tcPr>
            <w:tcW w:w="99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2028</w:t>
            </w: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2"/>
        </w:trPr>
        <w:tc>
          <w:tcPr>
            <w:tcW w:w="9920" w:type="dxa"/>
            <w:vAlign w:val="bottom"/>
          </w:tcPr>
          <w:p>
            <w:pPr>
              <w:ind w:left="140"/>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13"/>
        </w:trPr>
        <w:tc>
          <w:tcPr>
            <w:tcW w:w="99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2030</w:t>
            </w:r>
          </w:p>
        </w:tc>
        <w:tc>
          <w:tcPr>
            <w:tcW w:w="18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12"/>
        </w:trPr>
        <w:tc>
          <w:tcPr>
            <w:tcW w:w="9920" w:type="dxa"/>
            <w:vAlign w:val="bottom"/>
          </w:tcPr>
          <w:p>
            <w:pPr>
              <w:ind w:left="20"/>
              <w:spacing w:after="0"/>
              <w:rPr>
                <w:sz w:val="20"/>
                <w:szCs w:val="20"/>
                <w:color w:val="auto"/>
              </w:rPr>
            </w:pPr>
            <w:r>
              <w:rPr>
                <w:rFonts w:ascii="Arial" w:cs="Arial" w:eastAsia="Arial" w:hAnsi="Arial"/>
                <w:sz w:val="14"/>
                <w:szCs w:val="14"/>
                <w:color w:val="auto"/>
              </w:rPr>
              <w:t>Total lease payments from operating leases</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DEPOSITS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composition of Busey’s deposits is presented in the table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rPr>
              <w:t>As of</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200" w:type="dxa"/>
            <w:vAlign w:val="bottom"/>
            <w:gridSpan w:val="2"/>
          </w:tcPr>
          <w:p>
            <w:pPr>
              <w:jc w:val="center"/>
              <w:ind w:right="360"/>
              <w:spacing w:after="0" w:line="107" w:lineRule="exact"/>
              <w:rPr>
                <w:sz w:val="20"/>
                <w:szCs w:val="20"/>
                <w:color w:val="auto"/>
              </w:rPr>
            </w:pPr>
            <w:r>
              <w:rPr>
                <w:rFonts w:ascii="Arial" w:cs="Arial" w:eastAsia="Arial" w:hAnsi="Arial"/>
                <w:sz w:val="11"/>
                <w:szCs w:val="11"/>
                <w:b w:val="1"/>
                <w:bCs w:val="1"/>
                <w:color w:val="auto"/>
              </w:rPr>
              <w:t>March 31,</w:t>
            </w:r>
          </w:p>
        </w:tc>
        <w:tc>
          <w:tcPr>
            <w:tcW w:w="180" w:type="dxa"/>
            <w:vAlign w:val="bottom"/>
          </w:tcPr>
          <w:p>
            <w:pPr>
              <w:spacing w:after="0"/>
              <w:rPr>
                <w:sz w:val="9"/>
                <w:szCs w:val="9"/>
                <w:color w:val="auto"/>
              </w:rPr>
            </w:pPr>
          </w:p>
        </w:tc>
        <w:tc>
          <w:tcPr>
            <w:tcW w:w="1180" w:type="dxa"/>
            <w:vAlign w:val="bottom"/>
          </w:tcPr>
          <w:p>
            <w:pPr>
              <w:jc w:val="center"/>
              <w:ind w:right="113"/>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17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1"/>
                <w:szCs w:val="11"/>
                <w:b w:val="1"/>
                <w:bCs w:val="1"/>
                <w:color w:val="auto"/>
                <w:w w:val="97"/>
              </w:rPr>
              <w:t>2024</w:t>
            </w:r>
          </w:p>
        </w:tc>
        <w:tc>
          <w:tcPr>
            <w:tcW w:w="0" w:type="dxa"/>
            <w:vAlign w:val="bottom"/>
          </w:tcPr>
          <w:p>
            <w:pPr>
              <w:spacing w:after="0"/>
              <w:rPr>
                <w:sz w:val="1"/>
                <w:szCs w:val="1"/>
                <w:color w:val="auto"/>
              </w:rPr>
            </w:pP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Deposits</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Noninterest-bearing demand deposits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3,693,070</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2,719,907</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Interest-bearing transaction deposits</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3,200,137</w:t>
            </w:r>
          </w:p>
        </w:tc>
        <w:tc>
          <w:tcPr>
            <w:tcW w:w="10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2,423,237</w:t>
            </w: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Saving deposits and money market deposits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6,475,187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3,348,711</w:t>
            </w:r>
          </w:p>
        </w:tc>
        <w:tc>
          <w:tcPr>
            <w:tcW w:w="0" w:type="dxa"/>
            <w:vAlign w:val="bottom"/>
          </w:tcPr>
          <w:p>
            <w:pPr>
              <w:spacing w:after="0"/>
              <w:rPr>
                <w:sz w:val="1"/>
                <w:szCs w:val="1"/>
                <w:color w:val="auto"/>
              </w:rPr>
            </w:pP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Time deposits</w:t>
            </w: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3,091,076</w:t>
            </w:r>
          </w:p>
        </w:tc>
        <w:tc>
          <w:tcPr>
            <w:tcW w:w="100" w:type="dxa"/>
            <w:vAlign w:val="bottom"/>
            <w:shd w:val="clear" w:color="auto" w:fill="E0E7ED"/>
          </w:tcPr>
          <w:p>
            <w:pPr>
              <w:spacing w:after="0"/>
              <w:rPr>
                <w:sz w:val="18"/>
                <w:szCs w:val="18"/>
                <w:color w:val="auto"/>
              </w:rPr>
            </w:pPr>
          </w:p>
        </w:tc>
        <w:tc>
          <w:tcPr>
            <w:tcW w:w="18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1,490,635</w:t>
            </w:r>
          </w:p>
        </w:tc>
        <w:tc>
          <w:tcPr>
            <w:tcW w:w="0" w:type="dxa"/>
            <w:vAlign w:val="bottom"/>
          </w:tcPr>
          <w:p>
            <w:pPr>
              <w:spacing w:after="0"/>
              <w:rPr>
                <w:sz w:val="1"/>
                <w:szCs w:val="1"/>
                <w:color w:val="auto"/>
              </w:rPr>
            </w:pP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Total deposits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16,459,470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9,982,490</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4"/>
                <w:szCs w:val="14"/>
                <w:color w:val="auto"/>
              </w:rPr>
              <w:t>Additional information about Busey’s deposits follows:</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rPr>
              <w:t>As of</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200" w:type="dxa"/>
            <w:vAlign w:val="bottom"/>
            <w:gridSpan w:val="2"/>
          </w:tcPr>
          <w:p>
            <w:pPr>
              <w:jc w:val="center"/>
              <w:ind w:right="360"/>
              <w:spacing w:after="0" w:line="107" w:lineRule="exact"/>
              <w:rPr>
                <w:sz w:val="20"/>
                <w:szCs w:val="20"/>
                <w:color w:val="auto"/>
              </w:rPr>
            </w:pPr>
            <w:r>
              <w:rPr>
                <w:rFonts w:ascii="Arial" w:cs="Arial" w:eastAsia="Arial" w:hAnsi="Arial"/>
                <w:sz w:val="11"/>
                <w:szCs w:val="11"/>
                <w:b w:val="1"/>
                <w:bCs w:val="1"/>
                <w:color w:val="auto"/>
              </w:rPr>
              <w:t>March 31,</w:t>
            </w:r>
          </w:p>
        </w:tc>
        <w:tc>
          <w:tcPr>
            <w:tcW w:w="180" w:type="dxa"/>
            <w:vAlign w:val="bottom"/>
          </w:tcPr>
          <w:p>
            <w:pPr>
              <w:spacing w:after="0"/>
              <w:rPr>
                <w:sz w:val="9"/>
                <w:szCs w:val="9"/>
                <w:color w:val="auto"/>
              </w:rPr>
            </w:pPr>
          </w:p>
        </w:tc>
        <w:tc>
          <w:tcPr>
            <w:tcW w:w="1180" w:type="dxa"/>
            <w:vAlign w:val="bottom"/>
          </w:tcPr>
          <w:p>
            <w:pPr>
              <w:jc w:val="center"/>
              <w:ind w:right="113"/>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17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1"/>
                <w:szCs w:val="11"/>
                <w:b w:val="1"/>
                <w:bCs w:val="1"/>
                <w:color w:val="auto"/>
                <w:w w:val="97"/>
              </w:rPr>
              <w:t>2024</w:t>
            </w:r>
          </w:p>
        </w:tc>
        <w:tc>
          <w:tcPr>
            <w:tcW w:w="0" w:type="dxa"/>
            <w:vAlign w:val="bottom"/>
          </w:tcPr>
          <w:p>
            <w:pPr>
              <w:spacing w:after="0"/>
              <w:rPr>
                <w:sz w:val="1"/>
                <w:szCs w:val="1"/>
                <w:color w:val="auto"/>
              </w:rPr>
            </w:pPr>
          </w:p>
        </w:tc>
      </w:tr>
      <w:tr>
        <w:trPr>
          <w:trHeight w:val="203"/>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Brokered savings deposits and money market deposits</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133,768</w:t>
            </w:r>
          </w:p>
        </w:tc>
        <w:tc>
          <w:tcPr>
            <w:tcW w:w="100" w:type="dxa"/>
            <w:vAlign w:val="bottom"/>
            <w:shd w:val="clear" w:color="auto" w:fill="E0E7ED"/>
          </w:tcPr>
          <w:p>
            <w:pPr>
              <w:spacing w:after="0"/>
              <w:rPr>
                <w:sz w:val="17"/>
                <w:szCs w:val="17"/>
                <w:color w:val="auto"/>
              </w:rPr>
            </w:pPr>
          </w:p>
        </w:tc>
        <w:tc>
          <w:tcPr>
            <w:tcW w:w="180" w:type="dxa"/>
            <w:vAlign w:val="bottom"/>
            <w:shd w:val="clear" w:color="auto" w:fill="E0E7ED"/>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6,002</w:t>
            </w:r>
          </w:p>
        </w:tc>
        <w:tc>
          <w:tcPr>
            <w:tcW w:w="0" w:type="dxa"/>
            <w:vAlign w:val="bottom"/>
          </w:tcPr>
          <w:p>
            <w:pPr>
              <w:spacing w:after="0"/>
              <w:rPr>
                <w:sz w:val="1"/>
                <w:szCs w:val="1"/>
                <w:color w:val="auto"/>
              </w:rPr>
            </w:pPr>
          </w:p>
        </w:tc>
      </w:tr>
      <w:tr>
        <w:trPr>
          <w:trHeight w:val="202"/>
        </w:trPr>
        <w:tc>
          <w:tcPr>
            <w:tcW w:w="8460" w:type="dxa"/>
            <w:vAlign w:val="bottom"/>
          </w:tcPr>
          <w:p>
            <w:pPr>
              <w:ind w:left="20"/>
              <w:spacing w:after="0"/>
              <w:rPr>
                <w:sz w:val="20"/>
                <w:szCs w:val="20"/>
                <w:color w:val="auto"/>
              </w:rPr>
            </w:pPr>
            <w:r>
              <w:rPr>
                <w:rFonts w:ascii="Arial" w:cs="Arial" w:eastAsia="Arial" w:hAnsi="Arial"/>
                <w:sz w:val="14"/>
                <w:szCs w:val="14"/>
                <w:color w:val="auto"/>
              </w:rPr>
              <w:t>Brokered time deposits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588,456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7,088</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Aggregate amount of time deposits with a minimum denomination of $100,000</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1,762,194</w:t>
            </w:r>
          </w:p>
        </w:tc>
        <w:tc>
          <w:tcPr>
            <w:tcW w:w="10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860,193</w:t>
            </w:r>
          </w:p>
        </w:tc>
        <w:tc>
          <w:tcPr>
            <w:tcW w:w="0" w:type="dxa"/>
            <w:vAlign w:val="bottom"/>
          </w:tcPr>
          <w:p>
            <w:pPr>
              <w:spacing w:after="0"/>
              <w:rPr>
                <w:sz w:val="1"/>
                <w:szCs w:val="1"/>
                <w:color w:val="auto"/>
              </w:rPr>
            </w:pPr>
          </w:p>
        </w:tc>
      </w:tr>
      <w:tr>
        <w:trPr>
          <w:trHeight w:val="193"/>
        </w:trPr>
        <w:tc>
          <w:tcPr>
            <w:tcW w:w="8460" w:type="dxa"/>
            <w:vAlign w:val="bottom"/>
          </w:tcPr>
          <w:p>
            <w:pPr>
              <w:ind w:left="20"/>
              <w:spacing w:after="0"/>
              <w:rPr>
                <w:sz w:val="20"/>
                <w:szCs w:val="20"/>
                <w:color w:val="auto"/>
              </w:rPr>
            </w:pPr>
            <w:r>
              <w:rPr>
                <w:rFonts w:ascii="Arial" w:cs="Arial" w:eastAsia="Arial" w:hAnsi="Arial"/>
                <w:sz w:val="14"/>
                <w:szCs w:val="14"/>
                <w:color w:val="auto"/>
              </w:rPr>
              <w:t>Aggregate amount of time deposits with a minimum denomination that meets or exceeds the FDIC insurance limit of $250,000</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867,035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334,503</w:t>
            </w:r>
          </w:p>
        </w:tc>
        <w:tc>
          <w:tcPr>
            <w:tcW w:w="0" w:type="dxa"/>
            <w:vAlign w:val="bottom"/>
          </w:tcPr>
          <w:p>
            <w:pPr>
              <w:spacing w:after="0"/>
              <w:rPr>
                <w:sz w:val="1"/>
                <w:szCs w:val="1"/>
                <w:color w:val="auto"/>
              </w:rPr>
            </w:pPr>
          </w:p>
        </w:tc>
      </w:tr>
      <w:tr>
        <w:trPr>
          <w:trHeight w:val="403"/>
        </w:trPr>
        <w:tc>
          <w:tcPr>
            <w:tcW w:w="8460" w:type="dxa"/>
            <w:vAlign w:val="bottom"/>
          </w:tcPr>
          <w:p>
            <w:pPr>
              <w:spacing w:after="0"/>
              <w:rPr>
                <w:sz w:val="20"/>
                <w:szCs w:val="20"/>
                <w:color w:val="auto"/>
              </w:rPr>
            </w:pPr>
            <w:r>
              <w:rPr>
                <w:rFonts w:ascii="Arial" w:cs="Arial" w:eastAsia="Arial" w:hAnsi="Arial"/>
                <w:sz w:val="14"/>
                <w:szCs w:val="14"/>
                <w:color w:val="auto"/>
              </w:rPr>
              <w:t>Scheduled maturities of time deposits are as follows: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center"/>
              <w:ind w:right="153"/>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1"/>
                <w:szCs w:val="11"/>
                <w:b w:val="1"/>
                <w:bCs w:val="1"/>
                <w:color w:val="auto"/>
              </w:rPr>
              <w:t>March 31, 2025</w:t>
            </w:r>
          </w:p>
        </w:tc>
        <w:tc>
          <w:tcPr>
            <w:tcW w:w="0" w:type="dxa"/>
            <w:vAlign w:val="bottom"/>
          </w:tcPr>
          <w:p>
            <w:pPr>
              <w:spacing w:after="0"/>
              <w:rPr>
                <w:sz w:val="1"/>
                <w:szCs w:val="1"/>
                <w:color w:val="auto"/>
              </w:rPr>
            </w:pPr>
          </w:p>
        </w:tc>
      </w:tr>
      <w:tr>
        <w:trPr>
          <w:trHeight w:val="203"/>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Time deposits by schedule of maturities</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Remainder of 2025</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2,861,128</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2026</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194,449</w:t>
            </w: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2027</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19,421</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2028</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9,060</w:t>
            </w: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2029</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5,713</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2030</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203"/>
        </w:trPr>
        <w:tc>
          <w:tcPr>
            <w:tcW w:w="8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E0E7ED"/>
            </w:tcBorders>
          </w:tcPr>
          <w:p>
            <w:pPr>
              <w:spacing w:after="0"/>
              <w:rPr>
                <w:sz w:val="17"/>
                <w:szCs w:val="17"/>
                <w:color w:val="auto"/>
              </w:rPr>
            </w:pPr>
          </w:p>
        </w:tc>
        <w:tc>
          <w:tcPr>
            <w:tcW w:w="1100" w:type="dxa"/>
            <w:vAlign w:val="bottom"/>
            <w:tcBorders>
              <w:bottom w:val="single" w:sz="8" w:color="E0E7ED"/>
            </w:tcBorders>
          </w:tcPr>
          <w:p>
            <w:pPr>
              <w:spacing w:after="0"/>
              <w:rPr>
                <w:sz w:val="17"/>
                <w:szCs w:val="17"/>
                <w:color w:val="auto"/>
              </w:rPr>
            </w:pPr>
          </w:p>
        </w:tc>
        <w:tc>
          <w:tcPr>
            <w:tcW w:w="10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Time deposits</w:t>
            </w:r>
          </w:p>
        </w:tc>
        <w:tc>
          <w:tcPr>
            <w:tcW w:w="260" w:type="dxa"/>
            <w:vAlign w:val="bottom"/>
            <w:tcBorders>
              <w:bottom w:val="single" w:sz="8" w:color="E0E7ED"/>
            </w:tcBorders>
            <w:shd w:val="clear" w:color="auto" w:fill="E0E7ED"/>
          </w:tcPr>
          <w:p>
            <w:pPr>
              <w:spacing w:after="0"/>
              <w:rPr>
                <w:sz w:val="20"/>
                <w:szCs w:val="20"/>
                <w:color w:val="auto"/>
              </w:rPr>
            </w:pPr>
          </w:p>
        </w:tc>
        <w:tc>
          <w:tcPr>
            <w:tcW w:w="1100" w:type="dxa"/>
            <w:vAlign w:val="bottom"/>
            <w:tcBorders>
              <w:bottom w:val="single" w:sz="8" w:color="E0E7ED"/>
            </w:tcBorders>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180" w:type="dxa"/>
            <w:vAlign w:val="bottom"/>
            <w:tcBorders>
              <w:bottom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3,091,076</w:t>
            </w:r>
          </w:p>
        </w:tc>
        <w:tc>
          <w:tcPr>
            <w:tcW w:w="0" w:type="dxa"/>
            <w:vAlign w:val="bottom"/>
          </w:tcPr>
          <w:p>
            <w:pPr>
              <w:spacing w:after="0"/>
              <w:rPr>
                <w:sz w:val="1"/>
                <w:szCs w:val="1"/>
                <w:color w:val="auto"/>
              </w:rPr>
            </w:pPr>
          </w:p>
        </w:tc>
      </w:tr>
      <w:tr>
        <w:trPr>
          <w:trHeight w:val="20"/>
        </w:trPr>
        <w:tc>
          <w:tcPr>
            <w:tcW w:w="846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tcBorders>
          </w:tcPr>
          <w:p>
            <w:pPr>
              <w:spacing w:after="0" w:line="20" w:lineRule="exact"/>
              <w:rPr>
                <w:sz w:val="1"/>
                <w:szCs w:val="1"/>
                <w:color w:val="auto"/>
              </w:rPr>
            </w:pPr>
          </w:p>
        </w:tc>
        <w:tc>
          <w:tcPr>
            <w:tcW w:w="110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BORROWINGS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Securities Sold Under Agreements to Repurchase</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Busey’s safekeeping agent. Busey may be required to provide additional collateral based on fluctuations in the fair value of the underlying securities. Securities sold under agreements to repurchase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As of</w:t>
            </w: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1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right"/>
              <w:ind w:right="276"/>
              <w:spacing w:after="0" w:line="107"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right"/>
              <w:ind w:right="296"/>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1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2025</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300" w:type="dxa"/>
            <w:vAlign w:val="bottom"/>
            <w:shd w:val="clear" w:color="auto" w:fill="E0E7ED"/>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137,340</w:t>
            </w:r>
          </w:p>
        </w:tc>
        <w:tc>
          <w:tcPr>
            <w:tcW w:w="460" w:type="dxa"/>
            <w:vAlign w:val="bottom"/>
            <w:gridSpan w:val="3"/>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0E7ED"/>
          </w:tcPr>
          <w:p>
            <w:pPr>
              <w:jc w:val="right"/>
              <w:ind w:right="116"/>
              <w:spacing w:after="0"/>
              <w:rPr>
                <w:sz w:val="20"/>
                <w:szCs w:val="20"/>
                <w:color w:val="auto"/>
              </w:rPr>
            </w:pPr>
            <w:r>
              <w:rPr>
                <w:rFonts w:ascii="Arial" w:cs="Arial" w:eastAsia="Arial" w:hAnsi="Arial"/>
                <w:sz w:val="14"/>
                <w:szCs w:val="14"/>
                <w:color w:val="auto"/>
              </w:rPr>
              <w:t>155,610</w:t>
            </w:r>
          </w:p>
        </w:tc>
        <w:tc>
          <w:tcPr>
            <w:tcW w:w="0" w:type="dxa"/>
            <w:vAlign w:val="bottom"/>
          </w:tcPr>
          <w:p>
            <w:pPr>
              <w:spacing w:after="0"/>
              <w:rPr>
                <w:sz w:val="1"/>
                <w:szCs w:val="1"/>
                <w:color w:val="auto"/>
              </w:rPr>
            </w:pPr>
          </w:p>
        </w:tc>
      </w:tr>
      <w:tr>
        <w:trPr>
          <w:trHeight w:val="193"/>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Weighted average rate for securities sold under agreements to repurchase</w:t>
            </w:r>
          </w:p>
        </w:tc>
        <w:tc>
          <w:tcPr>
            <w:tcW w:w="3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2.53 %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2.63 %</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Revolving Line of Credit</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May 28, 2021, Busey entered into a Second Amended and Restated Credit Agreement, pursuant to which Busey has access to a $40.0 million revolving line of credit bearing an interest rate of 1.80% plus the one-month forward-looking term rate based on SOFR. After executing subsequent amendments, the current termination date for the revolving line of credit is April 30, 2026. As of March 31, 2025, there was no balance outstanding on the revolving line of credit. The revolving line of credit incurs an insignificant non-usage fee based on any undrawn amounts.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Short-term Borrowings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Busey’s short-term borrowings include loans maturing within one year of the loan origination date and, when applicable, the current portion of long-term debt that is due within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12 months. Short-term borrowings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20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center"/>
              <w:ind w:right="136"/>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Short-term borrowings</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460" w:type="dxa"/>
            <w:vAlign w:val="bottom"/>
          </w:tcPr>
          <w:p>
            <w:pPr>
              <w:ind w:left="140"/>
              <w:spacing w:after="0"/>
              <w:rPr>
                <w:sz w:val="20"/>
                <w:szCs w:val="20"/>
                <w:color w:val="auto"/>
              </w:rPr>
            </w:pPr>
            <w:r>
              <w:rPr>
                <w:rFonts w:ascii="Arial" w:cs="Arial" w:eastAsia="Arial" w:hAnsi="Arial"/>
                <w:sz w:val="14"/>
                <w:szCs w:val="14"/>
                <w:color w:val="auto"/>
              </w:rPr>
              <w:t>FHLB advances maturing in less than one year from date of origination, and the current portion of long-term FHLB advances due</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within 12 months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11,209</w:t>
            </w:r>
          </w:p>
        </w:tc>
        <w:tc>
          <w:tcPr>
            <w:tcW w:w="10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short-term debt</w:t>
            </w:r>
          </w:p>
        </w:tc>
        <w:tc>
          <w:tcPr>
            <w:tcW w:w="260" w:type="dxa"/>
            <w:vAlign w:val="bottom"/>
            <w:tcBorders>
              <w:bottom w:val="single" w:sz="8" w:color="auto"/>
            </w:tcBorders>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11,209</w:t>
            </w: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E0E7ED"/>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6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Funds borrowed from the FHLB, listed above, consisted of three notes with a weighted average interest rate of 1.33% and a weighted average maturity period of 13 days as of March 31, 2025.</w:t>
      </w:r>
    </w:p>
    <w:p>
      <w:pPr>
        <w:spacing w:after="0" w:line="8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Federal funds purchased are short-term borrowings that generally mature between one day and 90 days. Busey had no federal funds purchased as of March 31, 2025, or December 31, 2024.</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Debt</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Busey’s long-term debt consists of loans maturing more than one year from the loan origination date, excluding the current portion that is due within 12 months. Long-term debt is summarized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200" w:type="dxa"/>
            <w:vAlign w:val="bottom"/>
            <w:gridSpan w:val="2"/>
          </w:tcPr>
          <w:p>
            <w:pPr>
              <w:ind w:left="160"/>
              <w:spacing w:after="0" w:line="112"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center"/>
              <w:ind w:right="136"/>
              <w:spacing w:after="0" w:line="112"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846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Long-term debt</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Notes payable, FHLB, collateralized by FHLB deposits, residential and commercial real estate loans and FHLB stock</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78,542</w:t>
            </w:r>
          </w:p>
        </w:tc>
        <w:tc>
          <w:tcPr>
            <w:tcW w:w="10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long-term debt</w:t>
            </w:r>
          </w:p>
        </w:tc>
        <w:tc>
          <w:tcPr>
            <w:tcW w:w="260" w:type="dxa"/>
            <w:vAlign w:val="bottom"/>
            <w:tcBorders>
              <w:bottom w:val="single" w:sz="8" w:color="auto"/>
            </w:tcBorders>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78,542</w:t>
            </w: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shd w:val="clear" w:color="auto" w:fill="E0E7ED"/>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E0E7ED"/>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6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Funds borrowed from the FHLB, listed above, consisted of twelve notes with a weighted average interest rate of 2.22% and a weighted average maturity period of 2.80 years as of March 31, 2025. Maturity dates range from August 2027 through October 2028.</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Subordinated Notes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June 1, 2020, Busey issued $125.0 million of fixed-to-floating rate subordinated notes that mature on June 1, 2030. The subordinated notes, which qualify as Tier 2 capital for regulatory purposes, bear interest at an annual rate of 5.25% for the first five years after issuance and thereafter bear interest at a floating rate equal to a three-month benchmark rate plus a spread of 5.11%, as calculated on each applicable determination date. Interest on the subordinated notes is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 On April 30, 2025, Busey issued a conditional notice of full redemption, pursuant to which upon the satisfaction of certain conditions contained therein, Busey intends to redeem all $125.0 million of the subordinated notes on June 1, 2025 or such later interest payment date as determined by Busey in its discretion, but not later than September 1, 2025. The aggregate principal amount of the Subordinated Notes, plus accrued and unpaid interest thereon up to, but excluding, June 1, 2025, is $128.3 million.</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(1) 5.000% per annum from the original issue date to, but excluding, June 15, 2027, payable semiannually in arrears, and (2) a floating rate per annum equal to a benchmark rate, which is expected to be the Three-Month Term SOFR (as defined in the subordinated notes), plus a spread of 252 bps from and including June 15, 2027, payable quarterly in arrears. The subordinated notes have an optional redemption, in whole or in part, on any interest payment date on or after June 15, 2027.</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Associated with the M&amp;M acquisition completed on April 1, 2024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Note 2. Mergers and Acquisitions</w:t>
      </w:r>
      <w:r>
        <w:rPr>
          <w:rFonts w:ascii="Arial" w:cs="Arial" w:eastAsia="Arial" w:hAnsi="Arial"/>
          <w:sz w:val="14"/>
          <w:szCs w:val="14"/>
          <w:i w:val="1"/>
          <w:iCs w:val="1"/>
          <w:color w:val="auto"/>
        </w:rPr>
        <w:t>”</w:t>
      </w:r>
      <w:r>
        <w:rPr>
          <w:rFonts w:ascii="Arial" w:cs="Arial" w:eastAsia="Arial" w:hAnsi="Arial"/>
          <w:sz w:val="14"/>
          <w:szCs w:val="14"/>
          <w:color w:val="auto"/>
        </w:rPr>
        <w:t>), Busey acquired $4.0 million of 5.25% fixed-to-floating rate subordinated notes maturing December 4, 2030, which qualify as Tier 2 capital for regulatory purposes. Interest on the subordinated notes accrues at a rate equal to (1) 5.25% per annum from the original issue date to December 4, 2025, and (2) a floating rate per annum equal to a benchmark rate, which is expected to be the Three-Month Term SOFR (as defined in the subordinated notes), plus a spread of 497 bps from December 4, 2025. The subordinated notes have an optional redemption, in whole or in part, on or after December 4, 2025. At March 31, 2025, there was an immaterial amount of fair value discount outstanding, to be accreted through the earliest optional redemption date.</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Unamortized debt issuance costs related to Busey’s subordinated notes are presented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000" w:type="dxa"/>
            <w:vAlign w:val="bottom"/>
          </w:tcPr>
          <w:p>
            <w:pPr>
              <w:jc w:val="right"/>
              <w:spacing w:after="0" w:line="107" w:lineRule="exact"/>
              <w:rPr>
                <w:sz w:val="20"/>
                <w:szCs w:val="20"/>
                <w:color w:val="auto"/>
              </w:rPr>
            </w:pPr>
            <w:r>
              <w:rPr>
                <w:rFonts w:ascii="Arial" w:cs="Arial" w:eastAsia="Arial" w:hAnsi="Arial"/>
                <w:sz w:val="11"/>
                <w:szCs w:val="11"/>
                <w:b w:val="1"/>
                <w:bCs w:val="1"/>
                <w:color w:val="auto"/>
              </w:rPr>
              <w:t>March 31,</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right"/>
              <w:ind w:right="255"/>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vMerge w:val="continue"/>
          </w:tcPr>
          <w:p>
            <w:pPr>
              <w:spacing w:after="0"/>
              <w:rPr>
                <w:sz w:val="11"/>
                <w:szCs w:val="11"/>
                <w:color w:val="auto"/>
              </w:rPr>
            </w:pP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2025</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Unamortized debt issuance costs</w:t>
            </w:r>
          </w:p>
        </w:tc>
        <w:tc>
          <w:tcPr>
            <w:tcW w:w="100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Subordinated notes issued in 2020</w:t>
            </w:r>
          </w:p>
        </w:tc>
        <w:tc>
          <w:tcPr>
            <w:tcW w:w="1000" w:type="dxa"/>
            <w:vAlign w:val="bottom"/>
          </w:tcPr>
          <w:p>
            <w:pPr>
              <w:jc w:val="right"/>
              <w:ind w:right="836"/>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Subordinated notes issued in 2022</w:t>
            </w:r>
          </w:p>
        </w:tc>
        <w:tc>
          <w:tcPr>
            <w:tcW w:w="1000" w:type="dxa"/>
            <w:vAlign w:val="bottom"/>
            <w:tcBorders>
              <w:bottom w:val="single" w:sz="8" w:color="auto"/>
            </w:tcBorders>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Total unamortized debt issuance costs</w:t>
            </w:r>
          </w:p>
        </w:tc>
        <w:tc>
          <w:tcPr>
            <w:tcW w:w="10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REGULATORY CAPITAL</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First Busey and its subsidiary banks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First Busey's consolidated financial statements. Capital amounts and classification also are subject to qualitative judgments by regulators about components, risk weightings, and other factors.</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Banking regulations identify five capital categories for insured depository institutions: well capitalized, adequately capitalized, undercapitalized, significantly undercapitalized, and critically undercapitalized. As of March 31, 2025 and 2024, all capital ratios of First Busey and its subsidiary banks exceeded well capitalized levels under the applicable regulatory capital adequacy guidelines. Management believes that no events or changes have occurred subsequent to March 31, 2025, that would change this designation.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Current Expected Credit Loss Model</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August 26, 2020, the FDIC and other federal banking agencies adopted a final rule which provided banking organizations that adopted CECL during 2020 with the option to delay for two years the estimated impact of CECL on regulatory capital and to phase in the aggregate impact of the deferral on regulatory capital over a subsequent three-year period. Under this final rule, because Busey elected to use the deferral option, the regulatory capital impact of Busey’s transition adjustments recorded on January 1, 2020, arising from the adoption of CECL, was deferred for two years. In addition, 25 percent of the ongoing impact of CECL on Busey’s ACL, retained earnings, and average total consolidated assets from January 1, 2020, through the end of the two-year deferral period, each as reported for regulatory capital purposes, was added to the deferred transition amounts (“adjusted transition amounts”) and deferred for the two-year period. During the three-year period between January 1, 2022, and December 31, 2024, all of the adjusted transition amounts were phased-in for regulatory capital purposes.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Amounts and Ratios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regulatory capital requirements applicable to First Busey and its subsidiary banks: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center"/>
              <w:ind w:left="313"/>
              <w:spacing w:after="0"/>
              <w:rPr>
                <w:sz w:val="20"/>
                <w:szCs w:val="20"/>
                <w:color w:val="auto"/>
              </w:rPr>
            </w:pPr>
            <w:r>
              <w:rPr>
                <w:rFonts w:ascii="Arial" w:cs="Arial" w:eastAsia="Arial" w:hAnsi="Arial"/>
                <w:sz w:val="11"/>
                <w:szCs w:val="11"/>
                <w:b w:val="1"/>
                <w:bCs w:val="1"/>
                <w:color w:val="auto"/>
              </w:rPr>
              <w:t>As of March 31, 2025</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3"/>
            <w:vMerge w:val="restart"/>
          </w:tcPr>
          <w:p>
            <w:pPr>
              <w:jc w:val="center"/>
              <w:ind w:left="293"/>
              <w:spacing w:after="0"/>
              <w:rPr>
                <w:sz w:val="20"/>
                <w:szCs w:val="20"/>
                <w:color w:val="auto"/>
              </w:rPr>
            </w:pPr>
            <w:r>
              <w:rPr>
                <w:rFonts w:ascii="Arial" w:cs="Arial" w:eastAsia="Arial" w:hAnsi="Arial"/>
                <w:sz w:val="11"/>
                <w:szCs w:val="11"/>
                <w:b w:val="1"/>
                <w:bCs w:val="1"/>
                <w:color w:val="auto"/>
              </w:rPr>
              <w:t>Minimum</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3"/>
          </w:tcPr>
          <w:p>
            <w:pPr>
              <w:jc w:val="center"/>
              <w:ind w:left="433"/>
              <w:spacing w:after="0" w:line="112" w:lineRule="exact"/>
              <w:rPr>
                <w:sz w:val="20"/>
                <w:szCs w:val="20"/>
                <w:color w:val="auto"/>
              </w:rPr>
            </w:pPr>
            <w:r>
              <w:rPr>
                <w:rFonts w:ascii="Arial" w:cs="Arial" w:eastAsia="Arial" w:hAnsi="Arial"/>
                <w:sz w:val="11"/>
                <w:szCs w:val="11"/>
                <w:b w:val="1"/>
                <w:bCs w:val="1"/>
                <w:color w:val="auto"/>
              </w:rPr>
              <w:t>Minimum</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gridSpan w:val="2"/>
            <w:vMerge w:val="restart"/>
          </w:tcPr>
          <w:p>
            <w:pPr>
              <w:ind w:left="760"/>
              <w:spacing w:after="0"/>
              <w:rPr>
                <w:sz w:val="20"/>
                <w:szCs w:val="20"/>
                <w:color w:val="auto"/>
              </w:rPr>
            </w:pPr>
            <w:r>
              <w:rPr>
                <w:rFonts w:ascii="Arial" w:cs="Arial" w:eastAsia="Arial" w:hAnsi="Arial"/>
                <w:sz w:val="11"/>
                <w:szCs w:val="11"/>
                <w:b w:val="1"/>
                <w:bCs w:val="1"/>
                <w:color w:val="auto"/>
              </w:rPr>
              <w:t>Actual</w:t>
            </w: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3"/>
          </w:tcPr>
          <w:p>
            <w:pPr>
              <w:jc w:val="center"/>
              <w:ind w:left="453"/>
              <w:spacing w:after="0" w:line="113" w:lineRule="exact"/>
              <w:rPr>
                <w:sz w:val="20"/>
                <w:szCs w:val="20"/>
                <w:color w:val="auto"/>
              </w:rPr>
            </w:pPr>
            <w:r>
              <w:rPr>
                <w:rFonts w:ascii="Arial" w:cs="Arial" w:eastAsia="Arial" w:hAnsi="Arial"/>
                <w:sz w:val="11"/>
                <w:szCs w:val="11"/>
                <w:b w:val="1"/>
                <w:bCs w:val="1"/>
                <w:color w:val="auto"/>
                <w:w w:val="99"/>
              </w:rPr>
              <w:t>To Be Well</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8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vMerge w:val="continue"/>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center"/>
              <w:ind w:left="293"/>
              <w:spacing w:after="0"/>
              <w:rPr>
                <w:sz w:val="20"/>
                <w:szCs w:val="20"/>
                <w:color w:val="auto"/>
              </w:rPr>
            </w:pPr>
            <w:r>
              <w:rPr>
                <w:rFonts w:ascii="Arial" w:cs="Arial" w:eastAsia="Arial" w:hAnsi="Arial"/>
                <w:sz w:val="11"/>
                <w:szCs w:val="11"/>
                <w:b w:val="1"/>
                <w:bCs w:val="1"/>
                <w:color w:val="auto"/>
              </w:rPr>
              <w:t>Capital Requirement</w:t>
            </w: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1"/>
                <w:szCs w:val="11"/>
                <w:b w:val="1"/>
                <w:bCs w:val="1"/>
                <w:color w:val="auto"/>
              </w:rPr>
              <w:t>Capitalized</w:t>
            </w: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1100" w:type="dxa"/>
            <w:vAlign w:val="bottom"/>
            <w:gridSpan w:val="2"/>
          </w:tcPr>
          <w:p>
            <w:pPr>
              <w:ind w:left="360"/>
              <w:spacing w:after="0"/>
              <w:rPr>
                <w:sz w:val="20"/>
                <w:szCs w:val="20"/>
                <w:color w:val="auto"/>
              </w:rPr>
            </w:pPr>
            <w:r>
              <w:rPr>
                <w:rFonts w:ascii="Arial" w:cs="Arial" w:eastAsia="Arial" w:hAnsi="Arial"/>
                <w:sz w:val="11"/>
                <w:szCs w:val="11"/>
                <w:b w:val="1"/>
                <w:bCs w:val="1"/>
                <w:color w:val="auto"/>
              </w:rPr>
              <w:t>Ratio</w:t>
            </w:r>
          </w:p>
        </w:tc>
        <w:tc>
          <w:tcPr>
            <w:tcW w:w="260" w:type="dxa"/>
            <w:vAlign w:val="bottom"/>
          </w:tcPr>
          <w:p>
            <w:pPr>
              <w:spacing w:after="0"/>
              <w:rPr>
                <w:sz w:val="12"/>
                <w:szCs w:val="12"/>
                <w:color w:val="auto"/>
              </w:rPr>
            </w:pPr>
          </w:p>
        </w:tc>
        <w:tc>
          <w:tcPr>
            <w:tcW w:w="1500" w:type="dxa"/>
            <w:vAlign w:val="bottom"/>
            <w:gridSpan w:val="3"/>
          </w:tcPr>
          <w:p>
            <w:pPr>
              <w:ind w:left="18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Ratio</w:t>
            </w:r>
          </w:p>
        </w:tc>
        <w:tc>
          <w:tcPr>
            <w:tcW w:w="280" w:type="dxa"/>
            <w:vAlign w:val="bottom"/>
          </w:tcPr>
          <w:p>
            <w:pPr>
              <w:spacing w:after="0"/>
              <w:rPr>
                <w:sz w:val="12"/>
                <w:szCs w:val="12"/>
                <w:color w:val="auto"/>
              </w:rPr>
            </w:pPr>
          </w:p>
        </w:tc>
        <w:tc>
          <w:tcPr>
            <w:tcW w:w="1360" w:type="dxa"/>
            <w:vAlign w:val="bottom"/>
            <w:gridSpan w:val="3"/>
          </w:tcPr>
          <w:p>
            <w:pPr>
              <w:ind w:left="180"/>
              <w:spacing w:after="0"/>
              <w:rPr>
                <w:sz w:val="20"/>
                <w:szCs w:val="20"/>
                <w:color w:val="auto"/>
              </w:rPr>
            </w:pPr>
            <w:r>
              <w:rPr>
                <w:rFonts w:ascii="Arial" w:cs="Arial" w:eastAsia="Arial" w:hAnsi="Arial"/>
                <w:sz w:val="11"/>
                <w:szCs w:val="11"/>
                <w:b w:val="1"/>
                <w:bCs w:val="1"/>
                <w:color w:val="auto"/>
              </w:rPr>
              <w:t>Amount</w:t>
            </w:r>
          </w:p>
        </w:tc>
        <w:tc>
          <w:tcPr>
            <w:tcW w:w="780" w:type="dxa"/>
            <w:vAlign w:val="bottom"/>
          </w:tcPr>
          <w:p>
            <w:pPr>
              <w:jc w:val="right"/>
              <w:ind w:right="290"/>
              <w:spacing w:after="0"/>
              <w:rPr>
                <w:sz w:val="20"/>
                <w:szCs w:val="20"/>
                <w:color w:val="auto"/>
              </w:rPr>
            </w:pPr>
            <w:r>
              <w:rPr>
                <w:rFonts w:ascii="Arial" w:cs="Arial" w:eastAsia="Arial" w:hAnsi="Arial"/>
                <w:sz w:val="11"/>
                <w:szCs w:val="11"/>
                <w:b w:val="1"/>
                <w:bCs w:val="1"/>
                <w:color w:val="auto"/>
              </w:rPr>
              <w:t>Ratio</w:t>
            </w:r>
          </w:p>
        </w:tc>
        <w:tc>
          <w:tcPr>
            <w:tcW w:w="0" w:type="dxa"/>
            <w:vAlign w:val="bottom"/>
          </w:tcPr>
          <w:p>
            <w:pPr>
              <w:spacing w:after="0"/>
              <w:rPr>
                <w:sz w:val="1"/>
                <w:szCs w:val="1"/>
                <w:color w:val="auto"/>
              </w:rPr>
            </w:pPr>
          </w:p>
        </w:tc>
      </w:tr>
      <w:tr>
        <w:trPr>
          <w:trHeight w:val="192"/>
        </w:trPr>
        <w:tc>
          <w:tcPr>
            <w:tcW w:w="38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Common equity Tier 1 capital to risk weighted assets</w:t>
            </w:r>
          </w:p>
        </w:tc>
        <w:tc>
          <w:tcPr>
            <w:tcW w:w="26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00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6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60" w:type="dxa"/>
            <w:vAlign w:val="bottom"/>
            <w:tcBorders>
              <w:top w:val="single" w:sz="8" w:color="auto"/>
            </w:tcBorders>
            <w:shd w:val="clear" w:color="auto" w:fill="E0E7ED"/>
          </w:tcPr>
          <w:p>
            <w:pPr>
              <w:spacing w:after="0"/>
              <w:rPr>
                <w:sz w:val="16"/>
                <w:szCs w:val="16"/>
                <w:color w:val="auto"/>
              </w:rPr>
            </w:pPr>
          </w:p>
        </w:tc>
        <w:tc>
          <w:tcPr>
            <w:tcW w:w="6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78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140"/>
              <w:spacing w:after="0"/>
              <w:rPr>
                <w:sz w:val="20"/>
                <w:szCs w:val="20"/>
                <w:color w:val="auto"/>
              </w:rPr>
            </w:pPr>
            <w:r>
              <w:rPr>
                <w:rFonts w:ascii="Arial" w:cs="Arial" w:eastAsia="Arial" w:hAnsi="Arial"/>
                <w:sz w:val="14"/>
                <w:szCs w:val="14"/>
                <w:color w:val="auto"/>
              </w:rPr>
              <w:t>First Busey</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1,871,865</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12.00 %</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702,221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4.50 %</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1,014,319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6.50 %</w:t>
            </w:r>
          </w:p>
        </w:tc>
        <w:tc>
          <w:tcPr>
            <w:tcW w:w="0" w:type="dxa"/>
            <w:vAlign w:val="bottom"/>
          </w:tcPr>
          <w:p>
            <w:pPr>
              <w:spacing w:after="0"/>
              <w:rPr>
                <w:sz w:val="1"/>
                <w:szCs w:val="1"/>
                <w:color w:val="auto"/>
              </w:rPr>
            </w:pPr>
          </w:p>
        </w:tc>
      </w:tr>
      <w:tr>
        <w:trPr>
          <w:trHeight w:val="222"/>
        </w:trPr>
        <w:tc>
          <w:tcPr>
            <w:tcW w:w="38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Busey Bank</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1,420,244</w:t>
            </w:r>
          </w:p>
        </w:tc>
        <w:tc>
          <w:tcPr>
            <w:tcW w:w="80" w:type="dxa"/>
            <w:vAlign w:val="bottom"/>
            <w:shd w:val="clear" w:color="auto" w:fill="E0E7ED"/>
          </w:tcPr>
          <w:p>
            <w:pPr>
              <w:spacing w:after="0"/>
              <w:rPr>
                <w:sz w:val="19"/>
                <w:szCs w:val="19"/>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16.21 %</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394,316</w:t>
            </w: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6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4.50 %</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ind w:right="13"/>
              <w:spacing w:after="0"/>
              <w:rPr>
                <w:sz w:val="20"/>
                <w:szCs w:val="20"/>
                <w:color w:val="auto"/>
              </w:rPr>
            </w:pPr>
            <w:r>
              <w:rPr>
                <w:rFonts w:ascii="Arial" w:cs="Arial" w:eastAsia="Arial" w:hAnsi="Arial"/>
                <w:sz w:val="14"/>
                <w:szCs w:val="14"/>
                <w:color w:val="auto"/>
              </w:rPr>
              <w:t>569,568</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6.50 %</w:t>
            </w:r>
          </w:p>
        </w:tc>
        <w:tc>
          <w:tcPr>
            <w:tcW w:w="0" w:type="dxa"/>
            <w:vAlign w:val="bottom"/>
          </w:tcPr>
          <w:p>
            <w:pPr>
              <w:spacing w:after="0"/>
              <w:rPr>
                <w:sz w:val="1"/>
                <w:szCs w:val="1"/>
                <w:color w:val="auto"/>
              </w:rPr>
            </w:pPr>
          </w:p>
        </w:tc>
      </w:tr>
      <w:tr>
        <w:trPr>
          <w:trHeight w:val="202"/>
        </w:trPr>
        <w:tc>
          <w:tcPr>
            <w:tcW w:w="3880" w:type="dxa"/>
            <w:vAlign w:val="bottom"/>
          </w:tcPr>
          <w:p>
            <w:pPr>
              <w:ind w:left="140"/>
              <w:spacing w:after="0"/>
              <w:rPr>
                <w:sz w:val="20"/>
                <w:szCs w:val="20"/>
                <w:color w:val="auto"/>
              </w:rPr>
            </w:pPr>
            <w:r>
              <w:rPr>
                <w:rFonts w:ascii="Arial" w:cs="Arial" w:eastAsia="Arial" w:hAnsi="Arial"/>
                <w:sz w:val="14"/>
                <w:szCs w:val="14"/>
                <w:color w:val="auto"/>
              </w:rPr>
              <w:t>CrossFirst Bank</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652,977</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9.60 %</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306,018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4.50 %</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
              <w:spacing w:after="0"/>
              <w:rPr>
                <w:sz w:val="20"/>
                <w:szCs w:val="20"/>
                <w:color w:val="auto"/>
              </w:rPr>
            </w:pPr>
            <w:r>
              <w:rPr>
                <w:rFonts w:ascii="Arial" w:cs="Arial" w:eastAsia="Arial" w:hAnsi="Arial"/>
                <w:sz w:val="14"/>
                <w:szCs w:val="14"/>
                <w:color w:val="auto"/>
              </w:rPr>
              <w:t>442,027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6.50 %</w:t>
            </w:r>
          </w:p>
        </w:tc>
        <w:tc>
          <w:tcPr>
            <w:tcW w:w="0" w:type="dxa"/>
            <w:vAlign w:val="bottom"/>
          </w:tcPr>
          <w:p>
            <w:pPr>
              <w:spacing w:after="0"/>
              <w:rPr>
                <w:sz w:val="1"/>
                <w:szCs w:val="1"/>
                <w:color w:val="auto"/>
              </w:rPr>
            </w:pPr>
          </w:p>
        </w:tc>
      </w:tr>
      <w:tr>
        <w:trPr>
          <w:trHeight w:val="222"/>
        </w:trPr>
        <w:tc>
          <w:tcPr>
            <w:tcW w:w="388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0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6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Tier 1 capital to risk weighted assets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First Busey</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1,879,615</w:t>
            </w:r>
          </w:p>
        </w:tc>
        <w:tc>
          <w:tcPr>
            <w:tcW w:w="8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12.05 %</w:t>
            </w: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936,295</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6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6.00 %</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1,248,393</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8.00 %</w:t>
            </w:r>
          </w:p>
        </w:tc>
        <w:tc>
          <w:tcPr>
            <w:tcW w:w="0" w:type="dxa"/>
            <w:vAlign w:val="bottom"/>
          </w:tcPr>
          <w:p>
            <w:pPr>
              <w:spacing w:after="0"/>
              <w:rPr>
                <w:sz w:val="1"/>
                <w:szCs w:val="1"/>
                <w:color w:val="auto"/>
              </w:rPr>
            </w:pPr>
          </w:p>
        </w:tc>
      </w:tr>
      <w:tr>
        <w:trPr>
          <w:trHeight w:val="202"/>
        </w:trPr>
        <w:tc>
          <w:tcPr>
            <w:tcW w:w="3880" w:type="dxa"/>
            <w:vAlign w:val="bottom"/>
          </w:tcPr>
          <w:p>
            <w:pPr>
              <w:ind w:left="140"/>
              <w:spacing w:after="0"/>
              <w:rPr>
                <w:sz w:val="20"/>
                <w:szCs w:val="20"/>
                <w:color w:val="auto"/>
              </w:rPr>
            </w:pPr>
            <w:r>
              <w:rPr>
                <w:rFonts w:ascii="Arial" w:cs="Arial" w:eastAsia="Arial" w:hAnsi="Arial"/>
                <w:sz w:val="14"/>
                <w:szCs w:val="14"/>
                <w:color w:val="auto"/>
              </w:rPr>
              <w:t>Busey Bank</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1,420,244</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16.21 %</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525,755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6.00 %</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
              <w:spacing w:after="0"/>
              <w:rPr>
                <w:sz w:val="20"/>
                <w:szCs w:val="20"/>
                <w:color w:val="auto"/>
              </w:rPr>
            </w:pPr>
            <w:r>
              <w:rPr>
                <w:rFonts w:ascii="Arial" w:cs="Arial" w:eastAsia="Arial" w:hAnsi="Arial"/>
                <w:sz w:val="14"/>
                <w:szCs w:val="14"/>
                <w:color w:val="auto"/>
              </w:rPr>
              <w:t>701,007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8.00 %</w:t>
            </w:r>
          </w:p>
        </w:tc>
        <w:tc>
          <w:tcPr>
            <w:tcW w:w="0" w:type="dxa"/>
            <w:vAlign w:val="bottom"/>
          </w:tcPr>
          <w:p>
            <w:pPr>
              <w:spacing w:after="0"/>
              <w:rPr>
                <w:sz w:val="1"/>
                <w:szCs w:val="1"/>
                <w:color w:val="auto"/>
              </w:rPr>
            </w:pPr>
          </w:p>
        </w:tc>
      </w:tr>
      <w:tr>
        <w:trPr>
          <w:trHeight w:val="222"/>
        </w:trPr>
        <w:tc>
          <w:tcPr>
            <w:tcW w:w="38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CrossFirst Bank</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652,977</w:t>
            </w:r>
          </w:p>
        </w:tc>
        <w:tc>
          <w:tcPr>
            <w:tcW w:w="80" w:type="dxa"/>
            <w:vAlign w:val="bottom"/>
            <w:shd w:val="clear" w:color="auto" w:fill="E0E7ED"/>
          </w:tcPr>
          <w:p>
            <w:pPr>
              <w:spacing w:after="0"/>
              <w:rPr>
                <w:sz w:val="19"/>
                <w:szCs w:val="19"/>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9.60 %</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408,025</w:t>
            </w: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6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6.00 %</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ind w:right="13"/>
              <w:spacing w:after="0"/>
              <w:rPr>
                <w:sz w:val="20"/>
                <w:szCs w:val="20"/>
                <w:color w:val="auto"/>
              </w:rPr>
            </w:pPr>
            <w:r>
              <w:rPr>
                <w:rFonts w:ascii="Arial" w:cs="Arial" w:eastAsia="Arial" w:hAnsi="Arial"/>
                <w:sz w:val="14"/>
                <w:szCs w:val="14"/>
                <w:color w:val="auto"/>
              </w:rPr>
              <w:t>544,033</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8.00 %</w:t>
            </w: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Total capital to risk weighted assets</w:t>
            </w:r>
          </w:p>
        </w:tc>
        <w:tc>
          <w:tcPr>
            <w:tcW w:w="26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0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6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78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140"/>
              <w:spacing w:after="0"/>
              <w:rPr>
                <w:sz w:val="20"/>
                <w:szCs w:val="20"/>
                <w:color w:val="auto"/>
              </w:rPr>
            </w:pPr>
            <w:r>
              <w:rPr>
                <w:rFonts w:ascii="Arial" w:cs="Arial" w:eastAsia="Arial" w:hAnsi="Arial"/>
                <w:sz w:val="14"/>
                <w:szCs w:val="14"/>
                <w:color w:val="auto"/>
              </w:rPr>
              <w:t>First Busey</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2,321,708</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14.88 %</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1,248,393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8.00 %</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1,560,491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22"/>
        </w:trPr>
        <w:tc>
          <w:tcPr>
            <w:tcW w:w="38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Busey Bank</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1,508,341</w:t>
            </w:r>
          </w:p>
        </w:tc>
        <w:tc>
          <w:tcPr>
            <w:tcW w:w="80" w:type="dxa"/>
            <w:vAlign w:val="bottom"/>
            <w:shd w:val="clear" w:color="auto" w:fill="E0E7ED"/>
          </w:tcPr>
          <w:p>
            <w:pPr>
              <w:spacing w:after="0"/>
              <w:rPr>
                <w:sz w:val="19"/>
                <w:szCs w:val="19"/>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17.21 %</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701,007</w:t>
            </w: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6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8.00 %</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ind w:right="13"/>
              <w:spacing w:after="0"/>
              <w:rPr>
                <w:sz w:val="20"/>
                <w:szCs w:val="20"/>
                <w:color w:val="auto"/>
              </w:rPr>
            </w:pPr>
            <w:r>
              <w:rPr>
                <w:rFonts w:ascii="Arial" w:cs="Arial" w:eastAsia="Arial" w:hAnsi="Arial"/>
                <w:sz w:val="14"/>
                <w:szCs w:val="14"/>
                <w:color w:val="auto"/>
              </w:rPr>
              <w:t>876,259</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2"/>
        </w:trPr>
        <w:tc>
          <w:tcPr>
            <w:tcW w:w="3880" w:type="dxa"/>
            <w:vAlign w:val="bottom"/>
          </w:tcPr>
          <w:p>
            <w:pPr>
              <w:ind w:left="140"/>
              <w:spacing w:after="0"/>
              <w:rPr>
                <w:sz w:val="20"/>
                <w:szCs w:val="20"/>
                <w:color w:val="auto"/>
              </w:rPr>
            </w:pPr>
            <w:r>
              <w:rPr>
                <w:rFonts w:ascii="Arial" w:cs="Arial" w:eastAsia="Arial" w:hAnsi="Arial"/>
                <w:sz w:val="14"/>
                <w:szCs w:val="14"/>
                <w:color w:val="auto"/>
              </w:rPr>
              <w:t>CrossFirst Bank</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698,395</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10.27 %</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544,033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8.00 %</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
              <w:spacing w:after="0"/>
              <w:rPr>
                <w:sz w:val="20"/>
                <w:szCs w:val="20"/>
                <w:color w:val="auto"/>
              </w:rPr>
            </w:pPr>
            <w:r>
              <w:rPr>
                <w:rFonts w:ascii="Arial" w:cs="Arial" w:eastAsia="Arial" w:hAnsi="Arial"/>
                <w:sz w:val="14"/>
                <w:szCs w:val="14"/>
                <w:color w:val="auto"/>
              </w:rPr>
              <w:t>680,041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22"/>
        </w:trPr>
        <w:tc>
          <w:tcPr>
            <w:tcW w:w="388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0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6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Leverage ratio of Tier 1 capital to average assets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First Busey</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1,879,615</w:t>
            </w:r>
          </w:p>
        </w:tc>
        <w:tc>
          <w:tcPr>
            <w:tcW w:w="8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12.95 %</w:t>
            </w: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580,626</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6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4.00 %</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360" w:type="dxa"/>
            <w:vAlign w:val="bottom"/>
            <w:gridSpan w:val="3"/>
            <w:shd w:val="clear" w:color="auto" w:fill="E0E7ED"/>
          </w:tcPr>
          <w:p>
            <w:pPr>
              <w:jc w:val="center"/>
              <w:ind w:left="413"/>
              <w:spacing w:after="0"/>
              <w:rPr>
                <w:sz w:val="20"/>
                <w:szCs w:val="20"/>
                <w:color w:val="auto"/>
              </w:rPr>
            </w:pPr>
            <w:r>
              <w:rPr>
                <w:rFonts w:ascii="Arial" w:cs="Arial" w:eastAsia="Arial" w:hAnsi="Arial"/>
                <w:sz w:val="14"/>
                <w:szCs w:val="14"/>
                <w:color w:val="auto"/>
              </w:rPr>
              <w:t>N/A</w:t>
            </w: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2"/>
        </w:trPr>
        <w:tc>
          <w:tcPr>
            <w:tcW w:w="3880" w:type="dxa"/>
            <w:vAlign w:val="bottom"/>
          </w:tcPr>
          <w:p>
            <w:pPr>
              <w:ind w:left="140"/>
              <w:spacing w:after="0"/>
              <w:rPr>
                <w:sz w:val="20"/>
                <w:szCs w:val="20"/>
                <w:color w:val="auto"/>
              </w:rPr>
            </w:pPr>
            <w:r>
              <w:rPr>
                <w:rFonts w:ascii="Arial" w:cs="Arial" w:eastAsia="Arial" w:hAnsi="Arial"/>
                <w:sz w:val="14"/>
                <w:szCs w:val="14"/>
                <w:color w:val="auto"/>
              </w:rPr>
              <w:t>Busey Bank</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1,420,244</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12.08 %</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470,374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4.00 %</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
              <w:spacing w:after="0"/>
              <w:rPr>
                <w:sz w:val="20"/>
                <w:szCs w:val="20"/>
                <w:color w:val="auto"/>
              </w:rPr>
            </w:pPr>
            <w:r>
              <w:rPr>
                <w:rFonts w:ascii="Arial" w:cs="Arial" w:eastAsia="Arial" w:hAnsi="Arial"/>
                <w:sz w:val="14"/>
                <w:szCs w:val="14"/>
                <w:color w:val="auto"/>
              </w:rPr>
              <w:t>587,967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5.00 %</w:t>
            </w:r>
          </w:p>
        </w:tc>
        <w:tc>
          <w:tcPr>
            <w:tcW w:w="0" w:type="dxa"/>
            <w:vAlign w:val="bottom"/>
          </w:tcPr>
          <w:p>
            <w:pPr>
              <w:spacing w:after="0"/>
              <w:rPr>
                <w:sz w:val="1"/>
                <w:szCs w:val="1"/>
                <w:color w:val="auto"/>
              </w:rPr>
            </w:pPr>
          </w:p>
        </w:tc>
      </w:tr>
      <w:tr>
        <w:trPr>
          <w:trHeight w:val="222"/>
        </w:trPr>
        <w:tc>
          <w:tcPr>
            <w:tcW w:w="38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CrossFirst Bank</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652,977</w:t>
            </w:r>
          </w:p>
        </w:tc>
        <w:tc>
          <w:tcPr>
            <w:tcW w:w="80" w:type="dxa"/>
            <w:vAlign w:val="bottom"/>
            <w:shd w:val="clear" w:color="auto" w:fill="E0E7ED"/>
          </w:tcPr>
          <w:p>
            <w:pPr>
              <w:spacing w:after="0"/>
              <w:rPr>
                <w:sz w:val="19"/>
                <w:szCs w:val="19"/>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8.78 %</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297,548</w:t>
            </w: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6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4.00 %</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ind w:right="13"/>
              <w:spacing w:after="0"/>
              <w:rPr>
                <w:sz w:val="20"/>
                <w:szCs w:val="20"/>
                <w:color w:val="auto"/>
              </w:rPr>
            </w:pPr>
            <w:r>
              <w:rPr>
                <w:rFonts w:ascii="Arial" w:cs="Arial" w:eastAsia="Arial" w:hAnsi="Arial"/>
                <w:sz w:val="14"/>
                <w:szCs w:val="14"/>
                <w:color w:val="auto"/>
              </w:rPr>
              <w:t>371,936</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1"/>
                <w:szCs w:val="11"/>
                <w:b w:val="1"/>
                <w:bCs w:val="1"/>
                <w:color w:val="auto"/>
              </w:rPr>
              <w:t>As of December 31, 2024</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3"/>
            <w:vMerge w:val="restart"/>
          </w:tcPr>
          <w:p>
            <w:pPr>
              <w:jc w:val="center"/>
              <w:ind w:left="294"/>
              <w:spacing w:after="0"/>
              <w:rPr>
                <w:sz w:val="20"/>
                <w:szCs w:val="20"/>
                <w:color w:val="auto"/>
              </w:rPr>
            </w:pPr>
            <w:r>
              <w:rPr>
                <w:rFonts w:ascii="Arial" w:cs="Arial" w:eastAsia="Arial" w:hAnsi="Arial"/>
                <w:sz w:val="11"/>
                <w:szCs w:val="11"/>
                <w:b w:val="1"/>
                <w:bCs w:val="1"/>
                <w:color w:val="auto"/>
              </w:rPr>
              <w:t>Minimum</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3"/>
          </w:tcPr>
          <w:p>
            <w:pPr>
              <w:jc w:val="center"/>
              <w:ind w:left="434"/>
              <w:spacing w:after="0" w:line="107" w:lineRule="exact"/>
              <w:rPr>
                <w:sz w:val="20"/>
                <w:szCs w:val="20"/>
                <w:color w:val="auto"/>
              </w:rPr>
            </w:pPr>
            <w:r>
              <w:rPr>
                <w:rFonts w:ascii="Arial" w:cs="Arial" w:eastAsia="Arial" w:hAnsi="Arial"/>
                <w:sz w:val="11"/>
                <w:szCs w:val="11"/>
                <w:b w:val="1"/>
                <w:bCs w:val="1"/>
                <w:color w:val="auto"/>
              </w:rPr>
              <w:t>Minimum</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vMerge w:val="restart"/>
          </w:tcPr>
          <w:p>
            <w:pPr>
              <w:ind w:left="760"/>
              <w:spacing w:after="0"/>
              <w:rPr>
                <w:sz w:val="20"/>
                <w:szCs w:val="20"/>
                <w:color w:val="auto"/>
              </w:rPr>
            </w:pPr>
            <w:r>
              <w:rPr>
                <w:rFonts w:ascii="Arial" w:cs="Arial" w:eastAsia="Arial" w:hAnsi="Arial"/>
                <w:sz w:val="11"/>
                <w:szCs w:val="11"/>
                <w:b w:val="1"/>
                <w:bCs w:val="1"/>
                <w:color w:val="auto"/>
              </w:rPr>
              <w:t>Actual</w:t>
            </w: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3"/>
          </w:tcPr>
          <w:p>
            <w:pPr>
              <w:jc w:val="center"/>
              <w:ind w:left="454"/>
              <w:spacing w:after="0" w:line="106" w:lineRule="exact"/>
              <w:rPr>
                <w:sz w:val="20"/>
                <w:szCs w:val="20"/>
                <w:color w:val="auto"/>
              </w:rPr>
            </w:pPr>
            <w:r>
              <w:rPr>
                <w:rFonts w:ascii="Arial" w:cs="Arial" w:eastAsia="Arial" w:hAnsi="Arial"/>
                <w:sz w:val="11"/>
                <w:szCs w:val="11"/>
                <w:b w:val="1"/>
                <w:bCs w:val="1"/>
                <w:color w:val="auto"/>
                <w:w w:val="99"/>
              </w:rPr>
              <w:t>To Be Well</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8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vMerge w:val="continue"/>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1"/>
                <w:szCs w:val="11"/>
                <w:b w:val="1"/>
                <w:bCs w:val="1"/>
                <w:color w:val="auto"/>
              </w:rPr>
              <w:t>Capital Requirement</w:t>
            </w: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1"/>
                <w:szCs w:val="11"/>
                <w:b w:val="1"/>
                <w:bCs w:val="1"/>
                <w:color w:val="auto"/>
              </w:rPr>
              <w:t>Capitalized</w:t>
            </w: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8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80" w:type="dxa"/>
            <w:vAlign w:val="bottom"/>
          </w:tcPr>
          <w:p>
            <w:pPr>
              <w:spacing w:after="0"/>
              <w:rPr>
                <w:sz w:val="12"/>
                <w:szCs w:val="12"/>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1100" w:type="dxa"/>
            <w:vAlign w:val="bottom"/>
            <w:gridSpan w:val="2"/>
          </w:tcPr>
          <w:p>
            <w:pPr>
              <w:ind w:left="360"/>
              <w:spacing w:after="0"/>
              <w:rPr>
                <w:sz w:val="20"/>
                <w:szCs w:val="20"/>
                <w:color w:val="auto"/>
              </w:rPr>
            </w:pPr>
            <w:r>
              <w:rPr>
                <w:rFonts w:ascii="Arial" w:cs="Arial" w:eastAsia="Arial" w:hAnsi="Arial"/>
                <w:sz w:val="11"/>
                <w:szCs w:val="11"/>
                <w:b w:val="1"/>
                <w:bCs w:val="1"/>
                <w:color w:val="auto"/>
              </w:rPr>
              <w:t>Ratio</w:t>
            </w:r>
          </w:p>
        </w:tc>
        <w:tc>
          <w:tcPr>
            <w:tcW w:w="260" w:type="dxa"/>
            <w:vAlign w:val="bottom"/>
          </w:tcPr>
          <w:p>
            <w:pPr>
              <w:spacing w:after="0"/>
              <w:rPr>
                <w:sz w:val="12"/>
                <w:szCs w:val="12"/>
                <w:color w:val="auto"/>
              </w:rPr>
            </w:pPr>
          </w:p>
        </w:tc>
        <w:tc>
          <w:tcPr>
            <w:tcW w:w="1500" w:type="dxa"/>
            <w:vAlign w:val="bottom"/>
            <w:gridSpan w:val="3"/>
          </w:tcPr>
          <w:p>
            <w:pPr>
              <w:ind w:left="18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Ratio</w:t>
            </w:r>
          </w:p>
        </w:tc>
        <w:tc>
          <w:tcPr>
            <w:tcW w:w="280" w:type="dxa"/>
            <w:vAlign w:val="bottom"/>
          </w:tcPr>
          <w:p>
            <w:pPr>
              <w:spacing w:after="0"/>
              <w:rPr>
                <w:sz w:val="12"/>
                <w:szCs w:val="12"/>
                <w:color w:val="auto"/>
              </w:rPr>
            </w:pPr>
          </w:p>
        </w:tc>
        <w:tc>
          <w:tcPr>
            <w:tcW w:w="1360" w:type="dxa"/>
            <w:vAlign w:val="bottom"/>
            <w:gridSpan w:val="3"/>
          </w:tcPr>
          <w:p>
            <w:pPr>
              <w:ind w:left="180"/>
              <w:spacing w:after="0"/>
              <w:rPr>
                <w:sz w:val="20"/>
                <w:szCs w:val="20"/>
                <w:color w:val="auto"/>
              </w:rPr>
            </w:pPr>
            <w:r>
              <w:rPr>
                <w:rFonts w:ascii="Arial" w:cs="Arial" w:eastAsia="Arial" w:hAnsi="Arial"/>
                <w:sz w:val="11"/>
                <w:szCs w:val="11"/>
                <w:b w:val="1"/>
                <w:bCs w:val="1"/>
                <w:color w:val="auto"/>
              </w:rPr>
              <w:t>Amount</w:t>
            </w:r>
          </w:p>
        </w:tc>
        <w:tc>
          <w:tcPr>
            <w:tcW w:w="780" w:type="dxa"/>
            <w:vAlign w:val="bottom"/>
          </w:tcPr>
          <w:p>
            <w:pPr>
              <w:jc w:val="right"/>
              <w:ind w:right="291"/>
              <w:spacing w:after="0"/>
              <w:rPr>
                <w:sz w:val="20"/>
                <w:szCs w:val="20"/>
                <w:color w:val="auto"/>
              </w:rPr>
            </w:pPr>
            <w:r>
              <w:rPr>
                <w:rFonts w:ascii="Arial" w:cs="Arial" w:eastAsia="Arial" w:hAnsi="Arial"/>
                <w:sz w:val="11"/>
                <w:szCs w:val="11"/>
                <w:b w:val="1"/>
                <w:bCs w:val="1"/>
                <w:color w:val="auto"/>
              </w:rPr>
              <w:t>Ratio</w:t>
            </w:r>
          </w:p>
        </w:tc>
        <w:tc>
          <w:tcPr>
            <w:tcW w:w="0" w:type="dxa"/>
            <w:vAlign w:val="bottom"/>
          </w:tcPr>
          <w:p>
            <w:pPr>
              <w:spacing w:after="0"/>
              <w:rPr>
                <w:sz w:val="1"/>
                <w:szCs w:val="1"/>
                <w:color w:val="auto"/>
              </w:rPr>
            </w:pPr>
          </w:p>
        </w:tc>
      </w:tr>
      <w:tr>
        <w:trPr>
          <w:trHeight w:val="192"/>
        </w:trPr>
        <w:tc>
          <w:tcPr>
            <w:tcW w:w="38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Common equity Tier 1 capital to risk weighted assets</w:t>
            </w:r>
          </w:p>
        </w:tc>
        <w:tc>
          <w:tcPr>
            <w:tcW w:w="28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00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6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60" w:type="dxa"/>
            <w:vAlign w:val="bottom"/>
            <w:tcBorders>
              <w:top w:val="single" w:sz="8" w:color="auto"/>
            </w:tcBorders>
            <w:shd w:val="clear" w:color="auto" w:fill="E0E7ED"/>
          </w:tcPr>
          <w:p>
            <w:pPr>
              <w:spacing w:after="0"/>
              <w:rPr>
                <w:sz w:val="16"/>
                <w:szCs w:val="16"/>
                <w:color w:val="auto"/>
              </w:rPr>
            </w:pPr>
          </w:p>
        </w:tc>
        <w:tc>
          <w:tcPr>
            <w:tcW w:w="6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78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Arial" w:cs="Arial" w:eastAsia="Arial" w:hAnsi="Arial"/>
                <w:sz w:val="14"/>
                <w:szCs w:val="14"/>
                <w:color w:val="auto"/>
              </w:rPr>
              <w:t>First Busey</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1,237,301</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14.10 %</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394,840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4.50 %</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570,325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6.50 %</w:t>
            </w:r>
          </w:p>
        </w:tc>
        <w:tc>
          <w:tcPr>
            <w:tcW w:w="0" w:type="dxa"/>
            <w:vAlign w:val="bottom"/>
          </w:tcPr>
          <w:p>
            <w:pPr>
              <w:spacing w:after="0"/>
              <w:rPr>
                <w:sz w:val="1"/>
                <w:szCs w:val="1"/>
                <w:color w:val="auto"/>
              </w:rPr>
            </w:pPr>
          </w:p>
        </w:tc>
      </w:tr>
      <w:tr>
        <w:trPr>
          <w:trHeight w:val="222"/>
        </w:trPr>
        <w:tc>
          <w:tcPr>
            <w:tcW w:w="38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Busey Bank</w:t>
            </w: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1,438,296</w:t>
            </w:r>
          </w:p>
        </w:tc>
        <w:tc>
          <w:tcPr>
            <w:tcW w:w="80" w:type="dxa"/>
            <w:vAlign w:val="bottom"/>
            <w:shd w:val="clear" w:color="auto" w:fill="E0E7ED"/>
          </w:tcPr>
          <w:p>
            <w:pPr>
              <w:spacing w:after="0"/>
              <w:rPr>
                <w:sz w:val="19"/>
                <w:szCs w:val="19"/>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16.46 %</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393,277</w:t>
            </w: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6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4.50 %</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ind w:right="14"/>
              <w:spacing w:after="0"/>
              <w:rPr>
                <w:sz w:val="20"/>
                <w:szCs w:val="20"/>
                <w:color w:val="auto"/>
              </w:rPr>
            </w:pPr>
            <w:r>
              <w:rPr>
                <w:rFonts w:ascii="Arial" w:cs="Arial" w:eastAsia="Arial" w:hAnsi="Arial"/>
                <w:sz w:val="14"/>
                <w:szCs w:val="14"/>
                <w:color w:val="auto"/>
              </w:rPr>
              <w:t>568,067</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6.50 %</w:t>
            </w: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Tier 1 capital to risk weighted assets</w:t>
            </w: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0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6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78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Arial" w:cs="Arial" w:eastAsia="Arial" w:hAnsi="Arial"/>
                <w:sz w:val="14"/>
                <w:szCs w:val="14"/>
                <w:color w:val="auto"/>
              </w:rPr>
              <w:t>First Busey</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1,314,301</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14.98 %</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526,453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6.00 %</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701,938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8.00 %</w:t>
            </w:r>
          </w:p>
        </w:tc>
        <w:tc>
          <w:tcPr>
            <w:tcW w:w="0" w:type="dxa"/>
            <w:vAlign w:val="bottom"/>
          </w:tcPr>
          <w:p>
            <w:pPr>
              <w:spacing w:after="0"/>
              <w:rPr>
                <w:sz w:val="1"/>
                <w:szCs w:val="1"/>
                <w:color w:val="auto"/>
              </w:rPr>
            </w:pPr>
          </w:p>
        </w:tc>
      </w:tr>
      <w:tr>
        <w:trPr>
          <w:trHeight w:val="222"/>
        </w:trPr>
        <w:tc>
          <w:tcPr>
            <w:tcW w:w="38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Busey Bank</w:t>
            </w: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1,438,296</w:t>
            </w:r>
          </w:p>
        </w:tc>
        <w:tc>
          <w:tcPr>
            <w:tcW w:w="80" w:type="dxa"/>
            <w:vAlign w:val="bottom"/>
            <w:shd w:val="clear" w:color="auto" w:fill="E0E7ED"/>
          </w:tcPr>
          <w:p>
            <w:pPr>
              <w:spacing w:after="0"/>
              <w:rPr>
                <w:sz w:val="19"/>
                <w:szCs w:val="19"/>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16.46 %</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524,369</w:t>
            </w: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6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6.00 %</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ind w:right="14"/>
              <w:spacing w:after="0"/>
              <w:rPr>
                <w:sz w:val="20"/>
                <w:szCs w:val="20"/>
                <w:color w:val="auto"/>
              </w:rPr>
            </w:pPr>
            <w:r>
              <w:rPr>
                <w:rFonts w:ascii="Arial" w:cs="Arial" w:eastAsia="Arial" w:hAnsi="Arial"/>
                <w:sz w:val="14"/>
                <w:szCs w:val="14"/>
                <w:color w:val="auto"/>
              </w:rPr>
              <w:t>699,159</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8.00 %</w:t>
            </w: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Total capital to risk weighted assets</w:t>
            </w: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0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6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78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Arial" w:cs="Arial" w:eastAsia="Arial" w:hAnsi="Arial"/>
                <w:sz w:val="14"/>
                <w:szCs w:val="14"/>
                <w:color w:val="auto"/>
              </w:rPr>
              <w:t>First Busey</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1,625,943</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18.53 %</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701,938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8.00 %</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877,422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22"/>
        </w:trPr>
        <w:tc>
          <w:tcPr>
            <w:tcW w:w="38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Busey Bank</w:t>
            </w: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1,520,938</w:t>
            </w:r>
          </w:p>
        </w:tc>
        <w:tc>
          <w:tcPr>
            <w:tcW w:w="80" w:type="dxa"/>
            <w:vAlign w:val="bottom"/>
            <w:shd w:val="clear" w:color="auto" w:fill="E0E7ED"/>
          </w:tcPr>
          <w:p>
            <w:pPr>
              <w:spacing w:after="0"/>
              <w:rPr>
                <w:sz w:val="19"/>
                <w:szCs w:val="19"/>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17.40 %</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699,159</w:t>
            </w: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6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8.00 %</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ind w:right="14"/>
              <w:spacing w:after="0"/>
              <w:rPr>
                <w:sz w:val="20"/>
                <w:szCs w:val="20"/>
                <w:color w:val="auto"/>
              </w:rPr>
            </w:pPr>
            <w:r>
              <w:rPr>
                <w:rFonts w:ascii="Arial" w:cs="Arial" w:eastAsia="Arial" w:hAnsi="Arial"/>
                <w:sz w:val="14"/>
                <w:szCs w:val="14"/>
                <w:color w:val="auto"/>
              </w:rPr>
              <w:t>873,949</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Leverage ratio of Tier 1 capital to average assets</w:t>
            </w: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0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6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78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Arial" w:cs="Arial" w:eastAsia="Arial" w:hAnsi="Arial"/>
                <w:sz w:val="14"/>
                <w:szCs w:val="14"/>
                <w:color w:val="auto"/>
              </w:rPr>
              <w:t>First Busey</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1,314,301</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11.06 %</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475,348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center"/>
              <w:ind w:left="414"/>
              <w:spacing w:after="0"/>
              <w:rPr>
                <w:sz w:val="20"/>
                <w:szCs w:val="20"/>
                <w:color w:val="auto"/>
              </w:rPr>
            </w:pPr>
            <w:r>
              <w:rPr>
                <w:rFonts w:ascii="Arial" w:cs="Arial" w:eastAsia="Arial" w:hAnsi="Arial"/>
                <w:sz w:val="14"/>
                <w:szCs w:val="14"/>
                <w:color w:val="auto"/>
              </w:rPr>
              <w:t>N/A</w:t>
            </w:r>
          </w:p>
        </w:tc>
        <w:tc>
          <w:tcPr>
            <w:tcW w:w="78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2"/>
        </w:trPr>
        <w:tc>
          <w:tcPr>
            <w:tcW w:w="38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Busey Bank</w:t>
            </w: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1,438,296</w:t>
            </w:r>
          </w:p>
        </w:tc>
        <w:tc>
          <w:tcPr>
            <w:tcW w:w="80" w:type="dxa"/>
            <w:vAlign w:val="bottom"/>
            <w:shd w:val="clear" w:color="auto" w:fill="E0E7ED"/>
          </w:tcPr>
          <w:p>
            <w:pPr>
              <w:spacing w:after="0"/>
              <w:rPr>
                <w:sz w:val="19"/>
                <w:szCs w:val="19"/>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12.14 %</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473,878</w:t>
            </w: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6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4.00 %</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ind w:right="14"/>
              <w:spacing w:after="0"/>
              <w:rPr>
                <w:sz w:val="20"/>
                <w:szCs w:val="20"/>
                <w:color w:val="auto"/>
              </w:rPr>
            </w:pPr>
            <w:r>
              <w:rPr>
                <w:rFonts w:ascii="Arial" w:cs="Arial" w:eastAsia="Arial" w:hAnsi="Arial"/>
                <w:sz w:val="14"/>
                <w:szCs w:val="14"/>
                <w:color w:val="auto"/>
              </w:rPr>
              <w:t>592,347</w:t>
            </w: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Conservation Buffer</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(1) common equity Tier 1 capital to risk-weighted assets of at least 7.0%, which First Busey exceeded by 500 bps as of March 31, 2025, (2) Tier 1 capital to risk-weighted assets of at least 8.5%, which First Busey exceeded by 355 bps as of March 31, 2025, and (3) total capital to risk-weighted assets of at least 10.5%, which First Busey exceeded by 438 bps as of March 31, 2025.</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TAX CREDIT INVESTMENTS AND OTHER INVESTMENTS IN UNCONSOLIDATED ENTITIES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Busey has invested in certain tax-advantaged projects promoting affordable housing, new markets, and historic rehabilitation. These investments are designed to generate returns primarily though the realization of federal and state income tax credits and other tax benefits, such as tax deductions from operating losses of the investments, over specified time periods. These investments are considered to be variable interest entities, and are accounted for under the equity, cost, or proportional amortization practical expedient methods, as appropriate. These investments involve significant management judgments, including a determination of which entities have the power to direct activities, and whether these entities are variable interest entities. Busey is required to evaluate whether to consolidate a variable interest entity at both inception and on an ongoing basis. Busey is not required to consolidate variable interest entities in which it has concluded it does not have a controlling financial interest and is not the primary beneficiary. Busey’s maximum exposure to loss related to its investments in these unconsolidated variable interest entities is limited to the carrying amount of the investment, net of any unfunded capital commitments and previously recorded tax credits which remain subject to recapture by taxing authorities based on compliance features required to be met at the project level. Busey believes potential losses from these investments are remote.</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Busey has private equity investments, which are primarily in funds that invest in small businesses across diverse sectors including, but not limited to, financial technology, business services, manufacturing, agribusiness, healthcare, software as a service, environmental, and those that support the preservation of affordable housing.</w:t>
      </w:r>
    </w:p>
    <w:p>
      <w:pPr>
        <w:spacing w:after="0" w:line="8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Busey’s investments in these unconsolidated entities and related unfunded investment obligations are reflected in other assets and other liabilities on the </w:t>
      </w:r>
      <w:r>
        <w:rPr>
          <w:rFonts w:ascii="Arial" w:cs="Arial" w:eastAsia="Arial" w:hAnsi="Arial"/>
          <w:sz w:val="14"/>
          <w:szCs w:val="14"/>
          <w:u w:val="single" w:color="auto"/>
          <w:color w:val="0000FF"/>
        </w:rPr>
        <w:t>Consolidated Balance</w:t>
      </w:r>
      <w:r>
        <w:rPr>
          <w:rFonts w:ascii="Arial" w:cs="Arial" w:eastAsia="Arial" w:hAnsi="Arial"/>
          <w:sz w:val="14"/>
          <w:szCs w:val="14"/>
          <w:color w:val="auto"/>
        </w:rPr>
        <w:t xml:space="preserve"> </w:t>
      </w:r>
      <w:r>
        <w:rPr>
          <w:rFonts w:ascii="Arial" w:cs="Arial" w:eastAsia="Arial" w:hAnsi="Arial"/>
          <w:sz w:val="14"/>
          <w:szCs w:val="14"/>
          <w:u w:val="single" w:color="auto"/>
          <w:color w:val="0000FF"/>
        </w:rPr>
        <w:t>Sheets (Unaudited)</w:t>
      </w:r>
      <w:r>
        <w:rPr>
          <w:rFonts w:ascii="Arial" w:cs="Arial" w:eastAsia="Arial" w:hAnsi="Arial"/>
          <w:sz w:val="14"/>
          <w:szCs w:val="14"/>
          <w:color w:val="000000"/>
        </w:rPr>
        <w:t>, and are summarized in the table below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9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56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Location</w:t>
            </w:r>
          </w:p>
        </w:tc>
        <w:tc>
          <w:tcPr>
            <w:tcW w:w="260" w:type="dxa"/>
            <w:vAlign w:val="bottom"/>
          </w:tcPr>
          <w:p>
            <w:pPr>
              <w:spacing w:after="0"/>
              <w:rPr>
                <w:sz w:val="9"/>
                <w:szCs w:val="9"/>
                <w:color w:val="auto"/>
              </w:rPr>
            </w:pPr>
          </w:p>
        </w:tc>
        <w:tc>
          <w:tcPr>
            <w:tcW w:w="120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right"/>
              <w:ind w:right="254"/>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6900" w:type="dxa"/>
            <w:vAlign w:val="bottom"/>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475"/>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ind w:right="494"/>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69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Investments in unconsolidated entities</w:t>
            </w:r>
          </w:p>
        </w:tc>
        <w:tc>
          <w:tcPr>
            <w:tcW w:w="14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60" w:type="dxa"/>
            <w:vAlign w:val="bottom"/>
            <w:tcBorders>
              <w:top w:val="single" w:sz="8" w:color="auto"/>
            </w:tcBorders>
            <w:shd w:val="clear" w:color="auto" w:fill="E0E7ED"/>
          </w:tcPr>
          <w:p>
            <w:pPr>
              <w:spacing w:after="0"/>
              <w:rPr>
                <w:sz w:val="16"/>
                <w:szCs w:val="16"/>
                <w:color w:val="auto"/>
              </w:rPr>
            </w:pPr>
          </w:p>
        </w:tc>
        <w:tc>
          <w:tcPr>
            <w:tcW w:w="110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00" w:type="dxa"/>
            <w:vAlign w:val="bottom"/>
            <w:tcBorders>
              <w:top w:val="single" w:sz="8" w:color="auto"/>
            </w:tcBorders>
            <w:shd w:val="clear" w:color="auto" w:fill="E0E7ED"/>
          </w:tcPr>
          <w:p>
            <w:pPr>
              <w:spacing w:after="0"/>
              <w:rPr>
                <w:sz w:val="16"/>
                <w:szCs w:val="16"/>
                <w:color w:val="auto"/>
              </w:rPr>
            </w:pPr>
          </w:p>
        </w:tc>
        <w:tc>
          <w:tcPr>
            <w:tcW w:w="116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00" w:type="dxa"/>
            <w:vAlign w:val="bottom"/>
          </w:tcPr>
          <w:p>
            <w:pPr>
              <w:ind w:left="140"/>
              <w:spacing w:after="0"/>
              <w:rPr>
                <w:sz w:val="20"/>
                <w:szCs w:val="20"/>
                <w:color w:val="auto"/>
              </w:rPr>
            </w:pPr>
            <w:r>
              <w:rPr>
                <w:rFonts w:ascii="Arial" w:cs="Arial" w:eastAsia="Arial" w:hAnsi="Arial"/>
                <w:sz w:val="14"/>
                <w:szCs w:val="14"/>
                <w:color w:val="auto"/>
              </w:rPr>
              <w:t>Funded investments</w:t>
            </w:r>
          </w:p>
        </w:tc>
        <w:tc>
          <w:tcPr>
            <w:tcW w:w="156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86,976</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70,796</w:t>
            </w:r>
          </w:p>
        </w:tc>
        <w:tc>
          <w:tcPr>
            <w:tcW w:w="0" w:type="dxa"/>
            <w:vAlign w:val="bottom"/>
          </w:tcPr>
          <w:p>
            <w:pPr>
              <w:spacing w:after="0"/>
              <w:rPr>
                <w:sz w:val="1"/>
                <w:szCs w:val="1"/>
                <w:color w:val="auto"/>
              </w:rPr>
            </w:pPr>
          </w:p>
        </w:tc>
      </w:tr>
      <w:tr>
        <w:trPr>
          <w:trHeight w:val="222"/>
        </w:trPr>
        <w:tc>
          <w:tcPr>
            <w:tcW w:w="69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Unfunded investments</w:t>
            </w:r>
          </w:p>
        </w:tc>
        <w:tc>
          <w:tcPr>
            <w:tcW w:w="1560" w:type="dxa"/>
            <w:vAlign w:val="bottom"/>
            <w:gridSpan w:val="2"/>
            <w:shd w:val="clear" w:color="auto" w:fill="E0E7ED"/>
          </w:tcPr>
          <w:p>
            <w:pPr>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shd w:val="clear" w:color="auto" w:fill="E0E7ED"/>
          </w:tcPr>
          <w:p>
            <w:pPr>
              <w:spacing w:after="0"/>
              <w:rPr>
                <w:sz w:val="19"/>
                <w:szCs w:val="19"/>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60,047</w:t>
            </w:r>
          </w:p>
        </w:tc>
        <w:tc>
          <w:tcPr>
            <w:tcW w:w="100" w:type="dxa"/>
            <w:vAlign w:val="bottom"/>
            <w:shd w:val="clear" w:color="auto" w:fill="E0E7ED"/>
          </w:tcPr>
          <w:p>
            <w:pPr>
              <w:spacing w:after="0"/>
              <w:rPr>
                <w:sz w:val="19"/>
                <w:szCs w:val="19"/>
                <w:color w:val="auto"/>
              </w:rPr>
            </w:pPr>
          </w:p>
        </w:tc>
        <w:tc>
          <w:tcPr>
            <w:tcW w:w="200" w:type="dxa"/>
            <w:vAlign w:val="bottom"/>
            <w:tcBorders>
              <w:bottom w:val="single" w:sz="8" w:color="auto"/>
            </w:tcBorders>
            <w:shd w:val="clear" w:color="auto" w:fill="E0E7ED"/>
          </w:tcPr>
          <w:p>
            <w:pPr>
              <w:spacing w:after="0"/>
              <w:rPr>
                <w:sz w:val="19"/>
                <w:szCs w:val="19"/>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61,210</w:t>
            </w:r>
          </w:p>
        </w:tc>
        <w:tc>
          <w:tcPr>
            <w:tcW w:w="0" w:type="dxa"/>
            <w:vAlign w:val="bottom"/>
          </w:tcPr>
          <w:p>
            <w:pPr>
              <w:spacing w:after="0"/>
              <w:rPr>
                <w:sz w:val="1"/>
                <w:szCs w:val="1"/>
                <w:color w:val="auto"/>
              </w:rPr>
            </w:pPr>
          </w:p>
        </w:tc>
      </w:tr>
      <w:tr>
        <w:trPr>
          <w:trHeight w:val="193"/>
        </w:trPr>
        <w:tc>
          <w:tcPr>
            <w:tcW w:w="6900" w:type="dxa"/>
            <w:vAlign w:val="bottom"/>
          </w:tcPr>
          <w:p>
            <w:pPr>
              <w:ind w:left="20"/>
              <w:spacing w:after="0"/>
              <w:rPr>
                <w:sz w:val="20"/>
                <w:szCs w:val="20"/>
                <w:color w:val="auto"/>
              </w:rPr>
            </w:pPr>
            <w:r>
              <w:rPr>
                <w:rFonts w:ascii="Arial" w:cs="Arial" w:eastAsia="Arial" w:hAnsi="Arial"/>
                <w:sz w:val="14"/>
                <w:szCs w:val="14"/>
                <w:color w:val="auto"/>
              </w:rPr>
              <w:t>Investments in unconsolidated entities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147,023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132,006</w:t>
            </w:r>
          </w:p>
        </w:tc>
        <w:tc>
          <w:tcPr>
            <w:tcW w:w="0" w:type="dxa"/>
            <w:vAlign w:val="bottom"/>
          </w:tcPr>
          <w:p>
            <w:pPr>
              <w:spacing w:after="0"/>
              <w:rPr>
                <w:sz w:val="1"/>
                <w:szCs w:val="1"/>
                <w:color w:val="auto"/>
              </w:rPr>
            </w:pPr>
          </w:p>
        </w:tc>
      </w:tr>
      <w:tr>
        <w:trPr>
          <w:trHeight w:val="20"/>
        </w:trPr>
        <w:tc>
          <w:tcPr>
            <w:tcW w:w="690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shd w:val="clear" w:color="auto" w:fill="E0E7ED"/>
          </w:tcPr>
          <w:p>
            <w:pPr>
              <w:spacing w:after="0"/>
              <w:rPr>
                <w:sz w:val="15"/>
                <w:szCs w:val="15"/>
                <w:color w:val="auto"/>
              </w:rPr>
            </w:pPr>
          </w:p>
        </w:tc>
        <w:tc>
          <w:tcPr>
            <w:tcW w:w="14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0"/>
              <w:spacing w:after="0"/>
              <w:rPr>
                <w:sz w:val="20"/>
                <w:szCs w:val="20"/>
                <w:color w:val="auto"/>
              </w:rPr>
            </w:pPr>
            <w:r>
              <w:rPr>
                <w:rFonts w:ascii="Arial" w:cs="Arial" w:eastAsia="Arial" w:hAnsi="Arial"/>
                <w:sz w:val="14"/>
                <w:szCs w:val="14"/>
                <w:color w:val="auto"/>
              </w:rPr>
              <w:t>Unfunded investment obligations</w:t>
            </w:r>
          </w:p>
        </w:tc>
        <w:tc>
          <w:tcPr>
            <w:tcW w:w="1560" w:type="dxa"/>
            <w:vAlign w:val="bottom"/>
            <w:gridSpan w:val="2"/>
          </w:tcPr>
          <w:p>
            <w:pPr>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60,047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61,210</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Upon adoption of ASU 2023-02 on January 1, 2024, Busey elected to apply the proportional amortization method in accounting for investments in tax-advantaged projects. Income tax credits and other tax benefits related to these investments, net of investment amortization, are included as a component of Busey’s estimated annual effective tax rate used for the calculation of income taxes presented on the </w:t>
      </w:r>
      <w:r>
        <w:rPr>
          <w:rFonts w:ascii="Arial" w:cs="Arial" w:eastAsia="Arial" w:hAnsi="Arial"/>
          <w:sz w:val="14"/>
          <w:szCs w:val="14"/>
          <w:u w:val="single" w:color="auto"/>
          <w:color w:val="0000FF"/>
        </w:rPr>
        <w:t>Consolidated Statements of Income (Unaudited)</w:t>
      </w:r>
      <w:r>
        <w:rPr>
          <w:rFonts w:ascii="Arial" w:cs="Arial" w:eastAsia="Arial" w:hAnsi="Arial"/>
          <w:sz w:val="14"/>
          <w:szCs w:val="14"/>
          <w:color w:val="auto"/>
        </w:rPr>
        <w:t>. Actual amounts of income tax credits and other benefits, along with the investment amortization, are presented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2024</w:t>
            </w:r>
          </w:p>
        </w:tc>
      </w:tr>
      <w:tr>
        <w:trPr>
          <w:trHeight w:val="203"/>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Income tax credits and other tax benefits</w:t>
            </w:r>
          </w:p>
        </w:tc>
        <w:tc>
          <w:tcPr>
            <w:tcW w:w="320" w:type="dxa"/>
            <w:vAlign w:val="bottom"/>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4,589</w:t>
            </w: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4,101</w:t>
            </w:r>
          </w:p>
        </w:tc>
      </w:tr>
      <w:tr>
        <w:trPr>
          <w:trHeight w:val="193"/>
        </w:trPr>
        <w:tc>
          <w:tcPr>
            <w:tcW w:w="8460" w:type="dxa"/>
            <w:vAlign w:val="bottom"/>
          </w:tcPr>
          <w:p>
            <w:pPr>
              <w:ind w:left="20"/>
              <w:spacing w:after="0"/>
              <w:rPr>
                <w:sz w:val="20"/>
                <w:szCs w:val="20"/>
                <w:color w:val="auto"/>
              </w:rPr>
            </w:pPr>
            <w:r>
              <w:rPr>
                <w:rFonts w:ascii="Arial" w:cs="Arial" w:eastAsia="Arial" w:hAnsi="Arial"/>
                <w:sz w:val="14"/>
                <w:szCs w:val="14"/>
                <w:color w:val="auto"/>
              </w:rPr>
              <w:t>Amortization of investments in tax-advantaged projects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3,647</w:t>
            </w:r>
          </w:p>
        </w:tc>
      </w:tr>
    </w:tbl>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STOCK-BASED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CrossFirst Acquisition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CrossFirst acquisition impacted Busey and CrossFirst equity awards: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Treatment of Busey’s Equity Awards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Following the closing of the CrossFirst acquisition, except as otherwise provided in the CrossFirst Merger Agreement, Busey equity awards generally remain outstanding and subject to the same terms and conditions as applied immediately prior to the time at which the CrossFirst acquisition became effective (the “effective time”). Notable changes to Busey’s equity awards are as follows: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u w:val="single" w:color="auto"/>
          <w:color w:val="auto"/>
        </w:rPr>
        <w:t>ROATCE PSUs</w:t>
      </w:r>
      <w:r>
        <w:rPr>
          <w:rFonts w:ascii="Arial" w:cs="Arial" w:eastAsia="Arial" w:hAnsi="Arial"/>
          <w:sz w:val="14"/>
          <w:szCs w:val="14"/>
          <w:i w:val="1"/>
          <w:iCs w:val="1"/>
          <w:color w:val="auto"/>
        </w:rPr>
        <w:t xml:space="preserve"> </w:t>
      </w:r>
      <w:r>
        <w:rPr>
          <w:rFonts w:ascii="Arial" w:cs="Arial" w:eastAsia="Arial" w:hAnsi="Arial"/>
          <w:sz w:val="14"/>
          <w:szCs w:val="14"/>
          <w:color w:val="auto"/>
        </w:rPr>
        <w:t>— Each PSU issued by Busey that is earned based on Core Return on Average Tangible Common Equity (the “ROATCE PSUs”) and was outstanding immediately</w:t>
      </w:r>
      <w:r>
        <w:rPr>
          <w:rFonts w:ascii="Arial" w:cs="Arial" w:eastAsia="Arial" w:hAnsi="Arial"/>
          <w:sz w:val="14"/>
          <w:szCs w:val="14"/>
          <w:i w:val="1"/>
          <w:iCs w:val="1"/>
          <w:color w:val="auto"/>
        </w:rPr>
        <w:t xml:space="preserve"> </w:t>
      </w:r>
      <w:r>
        <w:rPr>
          <w:rFonts w:ascii="Arial" w:cs="Arial" w:eastAsia="Arial" w:hAnsi="Arial"/>
          <w:sz w:val="14"/>
          <w:szCs w:val="14"/>
          <w:color w:val="auto"/>
        </w:rPr>
        <w:t>prior to the effective time was deemed earned with the achievement of the applicable performance goals based on actual performance through December 31, 2024, the latest practicable date prior to the effective time, and otherwise remains subject to the same terms and conditions (including service-based vesting terms) as applied to such ROATCE PSUs immediately prior to the effective time. The ROATCE PSUs have been deemed earned (i) at 100% of the target level of performance, for the ROATCE PSUs granted in 2023 and (ii) at 75% of the target level of performance, for the ROATCE PSUs granted in 2024.</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u w:val="single" w:color="auto"/>
          <w:color w:val="auto"/>
        </w:rPr>
        <w:t>TSR PSUs</w:t>
      </w:r>
      <w:r>
        <w:rPr>
          <w:rFonts w:ascii="Arial" w:cs="Arial" w:eastAsia="Arial" w:hAnsi="Arial"/>
          <w:sz w:val="14"/>
          <w:szCs w:val="14"/>
          <w:i w:val="1"/>
          <w:iCs w:val="1"/>
          <w:color w:val="auto"/>
        </w:rPr>
        <w:t xml:space="preserve"> </w:t>
      </w:r>
      <w:r>
        <w:rPr>
          <w:rFonts w:ascii="Arial" w:cs="Arial" w:eastAsia="Arial" w:hAnsi="Arial"/>
          <w:sz w:val="14"/>
          <w:szCs w:val="14"/>
          <w:color w:val="auto"/>
        </w:rPr>
        <w:t>— Each Busey PSU previously granted that is tied to total stockholder return (“TSR”, and such PSUs, the “TSR PSUs”) with a performance period that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2024, (excluding TSR PSUs previously held by retirees) was replaced, and each TSR PSU outstanding immediately prior to the effective time with performance periods ending December 31, 2025, and December 31, 2026, (including existing TSR PSUs held by retirees) was modified, each effective March 1, 2025, such that the resulting new or modified PSUs (collectively, the “Merger PSUs”) will be earned based on Busey’s relative TSR rank as compared to the KBW Regional Banking Index, measured at the end of a performance period commencing January 1, 2025, and ending December 31, 2026. The Merger PSUs are subject to the terms and conditions of Busey’s Amended 2020 Equity Incentive Plan and the applicable award agreements. The target number of PSUs subject to each such Merger PSU was determined based on the number of PSUs that would have been earned in respect of the corresponding TSR PSU had performance for such corresponding TSR PSU been determined based on actual performance as of August 26, 2024, the day immediately prior to the announcement of the Merger, which is (i) in the case of the 2022 TSR PSUs, 94.5% of the original target level of performance, (ii) in the case of the 2023 TSR PSUs, 96.2% of the original target level of performance, and (iii) in the case of the 2024 TSR PSUs, 76.9% of the original target level of performance. Such target number also reflects the number of dividend equivalents accrued in respect of the corresponding existing TSR PSU that would have been earned based on the same actual TSR performance.</w:t>
      </w:r>
    </w:p>
    <w:p>
      <w:pPr>
        <w:spacing w:after="0" w:line="28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Busey RSUs</w:t>
      </w:r>
      <w:r>
        <w:rPr>
          <w:rFonts w:ascii="Arial" w:cs="Arial" w:eastAsia="Arial" w:hAnsi="Arial"/>
          <w:sz w:val="14"/>
          <w:szCs w:val="14"/>
          <w:i w:val="1"/>
          <w:iCs w:val="1"/>
          <w:color w:val="auto"/>
        </w:rPr>
        <w:t xml:space="preserve"> </w:t>
      </w:r>
      <w:r>
        <w:rPr>
          <w:rFonts w:ascii="Arial" w:cs="Arial" w:eastAsia="Arial" w:hAnsi="Arial"/>
          <w:sz w:val="14"/>
          <w:szCs w:val="14"/>
          <w:color w:val="auto"/>
        </w:rPr>
        <w:t>— Each outstanding Busey time-based restricted stock unit award (the “Busey RSUs”) will vest in equal annual installments over three (3) years following the effective</w:t>
      </w:r>
      <w:r>
        <w:rPr>
          <w:rFonts w:ascii="Arial" w:cs="Arial" w:eastAsia="Arial" w:hAnsi="Arial"/>
          <w:sz w:val="14"/>
          <w:szCs w:val="14"/>
          <w:i w:val="1"/>
          <w:iCs w:val="1"/>
          <w:color w:val="auto"/>
        </w:rPr>
        <w:t xml:space="preserve"> </w:t>
      </w:r>
      <w:r>
        <w:rPr>
          <w:rFonts w:ascii="Arial" w:cs="Arial" w:eastAsia="Arial" w:hAnsi="Arial"/>
          <w:sz w:val="14"/>
          <w:szCs w:val="14"/>
          <w:color w:val="auto"/>
        </w:rPr>
        <w:t>time; provided that if any Busey RSU would otherwise vest by its terms on an earlier date, any then-unvested portion as of such date shall vest on such original vesting date.</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Each Busey equity award will be subject to double-trigger vesting upon an involuntary termination within twelve (12) months following the effective time (at target performance, in the case of Merger PSUs).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Treatment of CrossFirst’s Equity Awards</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Equity awards based on CrossFirst Common Stock that were outstanding immediately prior to the effective time were converted, at the effective time, either to Busey Common Stock or to equity awards based on Busey Common Stock, as follows: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Director equity awards</w:t>
      </w:r>
      <w:r>
        <w:rPr>
          <w:rFonts w:ascii="Arial" w:cs="Arial" w:eastAsia="Arial" w:hAnsi="Arial"/>
          <w:sz w:val="14"/>
          <w:szCs w:val="14"/>
          <w:i w:val="1"/>
          <w:iCs w:val="1"/>
          <w:color w:val="auto"/>
        </w:rPr>
        <w:t xml:space="preserve"> </w:t>
      </w:r>
      <w:r>
        <w:rPr>
          <w:rFonts w:ascii="Arial" w:cs="Arial" w:eastAsia="Arial" w:hAnsi="Arial"/>
          <w:sz w:val="14"/>
          <w:szCs w:val="14"/>
          <w:color w:val="auto"/>
        </w:rPr>
        <w:t>— Each CrossFirst restricted stock award held by a CrossFirst non-employee director and each deferred share of CrossFirst Common Stock that was</w:t>
      </w:r>
      <w:r>
        <w:rPr>
          <w:rFonts w:ascii="Arial" w:cs="Arial" w:eastAsia="Arial" w:hAnsi="Arial"/>
          <w:sz w:val="14"/>
          <w:szCs w:val="14"/>
          <w:i w:val="1"/>
          <w:iCs w:val="1"/>
          <w:color w:val="auto"/>
        </w:rPr>
        <w:t xml:space="preserve"> </w:t>
      </w:r>
      <w:r>
        <w:rPr>
          <w:rFonts w:ascii="Arial" w:cs="Arial" w:eastAsia="Arial" w:hAnsi="Arial"/>
          <w:sz w:val="14"/>
          <w:szCs w:val="14"/>
          <w:color w:val="auto"/>
        </w:rPr>
        <w:t>credited to a director participant’s account under the CrossFirst 2018 Directors’ Deferred Fee Plan was converted into the right to receive 0.6675 shares of Busey Common Stock (the “Exchange Ratio”).</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CrossFirst RSUs</w:t>
      </w:r>
      <w:r>
        <w:rPr>
          <w:rFonts w:ascii="Arial" w:cs="Arial" w:eastAsia="Arial" w:hAnsi="Arial"/>
          <w:sz w:val="14"/>
          <w:szCs w:val="14"/>
          <w:i w:val="1"/>
          <w:iCs w:val="1"/>
          <w:color w:val="auto"/>
        </w:rPr>
        <w:t xml:space="preserve"> </w:t>
      </w:r>
      <w:r>
        <w:rPr>
          <w:rFonts w:ascii="Arial" w:cs="Arial" w:eastAsia="Arial" w:hAnsi="Arial"/>
          <w:sz w:val="14"/>
          <w:szCs w:val="14"/>
          <w:color w:val="auto"/>
        </w:rPr>
        <w:t>— Each CrossFirst time-based restricted stock unit award (“CrossFirst RSU”) was converted into a restricted stock unit in respect of Busey Common Stock (a</w:t>
      </w:r>
      <w:r>
        <w:rPr>
          <w:rFonts w:ascii="Arial" w:cs="Arial" w:eastAsia="Arial" w:hAnsi="Arial"/>
          <w:sz w:val="14"/>
          <w:szCs w:val="14"/>
          <w:i w:val="1"/>
          <w:iCs w:val="1"/>
          <w:color w:val="auto"/>
        </w:rPr>
        <w:t xml:space="preserve"> </w:t>
      </w:r>
      <w:r>
        <w:rPr>
          <w:rFonts w:ascii="Arial" w:cs="Arial" w:eastAsia="Arial" w:hAnsi="Arial"/>
          <w:sz w:val="14"/>
          <w:szCs w:val="14"/>
          <w:color w:val="auto"/>
        </w:rPr>
        <w:t>“Busey RSU”) based on the Exchange Ratio, rounded to the nearest whole share, subject to the same terms and conditions as were applicable to the CrossFirst RSUs prior to the effective time.</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u w:val="single" w:color="auto"/>
          <w:color w:val="auto"/>
        </w:rPr>
        <w:t>CrossFirst PSUs</w:t>
      </w:r>
      <w:r>
        <w:rPr>
          <w:rFonts w:ascii="Arial" w:cs="Arial" w:eastAsia="Arial" w:hAnsi="Arial"/>
          <w:sz w:val="14"/>
          <w:szCs w:val="14"/>
          <w:i w:val="1"/>
          <w:iCs w:val="1"/>
          <w:color w:val="auto"/>
        </w:rPr>
        <w:t xml:space="preserve"> </w:t>
      </w:r>
      <w:r>
        <w:rPr>
          <w:rFonts w:ascii="Arial" w:cs="Arial" w:eastAsia="Arial" w:hAnsi="Arial"/>
          <w:sz w:val="14"/>
          <w:szCs w:val="14"/>
          <w:color w:val="auto"/>
        </w:rPr>
        <w:t>— Each CrossFirst performance-based restricted stock unit award (“CrossFirst PSU”) was converted into a time-based Busey RSU based on the Exchange Ratio,</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the same terms and conditions as were applicable to the CrossFirst PSUs prior to the effective time, assuming the achievement of the applicable performance goals based on, for the CrossFirst PSUs granted in 2023, actual performance through December 31, 2024, and, for the CrossFirst PSUs granted in 2024, target performance, rounded to the nearest whole share.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CrossFirst SSARs</w:t>
      </w:r>
      <w:r>
        <w:rPr>
          <w:rFonts w:ascii="Arial" w:cs="Arial" w:eastAsia="Arial" w:hAnsi="Arial"/>
          <w:sz w:val="14"/>
          <w:szCs w:val="14"/>
          <w:i w:val="1"/>
          <w:iCs w:val="1"/>
          <w:color w:val="auto"/>
        </w:rPr>
        <w:t xml:space="preserve"> </w:t>
      </w:r>
      <w:r>
        <w:rPr>
          <w:rFonts w:ascii="Arial" w:cs="Arial" w:eastAsia="Arial" w:hAnsi="Arial"/>
          <w:sz w:val="14"/>
          <w:szCs w:val="14"/>
          <w:color w:val="auto"/>
        </w:rPr>
        <w:t>— Each CrossFirst SSAR was converted into a stock appreciation right in respect of Busey Common Stock based on the Exchange Ratio, rounded down to the</w:t>
      </w:r>
      <w:r>
        <w:rPr>
          <w:rFonts w:ascii="Arial" w:cs="Arial" w:eastAsia="Arial" w:hAnsi="Arial"/>
          <w:sz w:val="14"/>
          <w:szCs w:val="14"/>
          <w:i w:val="1"/>
          <w:iCs w:val="1"/>
          <w:color w:val="auto"/>
        </w:rPr>
        <w:t xml:space="preserve"> </w:t>
      </w:r>
      <w:r>
        <w:rPr>
          <w:rFonts w:ascii="Arial" w:cs="Arial" w:eastAsia="Arial" w:hAnsi="Arial"/>
          <w:sz w:val="14"/>
          <w:szCs w:val="14"/>
          <w:color w:val="auto"/>
        </w:rPr>
        <w:t>nearest whole share (and exercise price rounded up to the nearest cent), generally subject to the same terms and conditions as were applicable to the CrossFirst SSAR prior to the effective time.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Busey has outstanding stock options assumed from a 2017 acquisition. A summary of the status of, and changes in, Busey's stock option awards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March 31, 2025,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center"/>
              <w:ind w:left="383"/>
              <w:spacing w:after="0"/>
              <w:rPr>
                <w:sz w:val="20"/>
                <w:szCs w:val="20"/>
                <w:color w:val="auto"/>
              </w:rPr>
            </w:pPr>
            <w:r>
              <w:rPr>
                <w:rFonts w:ascii="Arial" w:cs="Arial" w:eastAsia="Arial" w:hAnsi="Arial"/>
                <w:sz w:val="11"/>
                <w:szCs w:val="11"/>
                <w:b w:val="1"/>
                <w:bCs w:val="1"/>
                <w:color w:val="auto"/>
              </w:rPr>
              <w:t>Weighted-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06"/>
        </w:trPr>
        <w:tc>
          <w:tcPr>
            <w:tcW w:w="6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17"/>
        </w:trPr>
        <w:tc>
          <w:tcPr>
            <w:tcW w:w="6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ind w:left="383"/>
              <w:spacing w:after="0" w:line="117" w:lineRule="exact"/>
              <w:rPr>
                <w:sz w:val="20"/>
                <w:szCs w:val="20"/>
                <w:color w:val="auto"/>
              </w:rPr>
            </w:pPr>
            <w:r>
              <w:rPr>
                <w:rFonts w:ascii="Arial" w:cs="Arial" w:eastAsia="Arial" w:hAnsi="Arial"/>
                <w:sz w:val="11"/>
                <w:szCs w:val="11"/>
                <w:b w:val="1"/>
                <w:bCs w:val="1"/>
                <w:color w:val="auto"/>
              </w:rPr>
              <w:t>Average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Remaining</w:t>
            </w:r>
          </w:p>
        </w:tc>
        <w:tc>
          <w:tcPr>
            <w:tcW w:w="0" w:type="dxa"/>
            <w:vAlign w:val="bottom"/>
          </w:tcPr>
          <w:p>
            <w:pPr>
              <w:spacing w:after="0"/>
              <w:rPr>
                <w:sz w:val="1"/>
                <w:szCs w:val="1"/>
                <w:color w:val="auto"/>
              </w:rPr>
            </w:pPr>
          </w:p>
        </w:tc>
      </w:tr>
      <w:tr>
        <w:trPr>
          <w:trHeight w:val="106"/>
        </w:trPr>
        <w:tc>
          <w:tcPr>
            <w:tcW w:w="6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Options</w:t>
            </w:r>
          </w:p>
        </w:tc>
        <w:tc>
          <w:tcPr>
            <w:tcW w:w="80" w:type="dxa"/>
            <w:vAlign w:val="bottom"/>
            <w:vMerge w:val="restart"/>
          </w:tcPr>
          <w:p>
            <w:pPr>
              <w:spacing w:after="0"/>
              <w:rPr>
                <w:sz w:val="9"/>
                <w:szCs w:val="9"/>
                <w:color w:val="auto"/>
              </w:rPr>
            </w:pPr>
          </w:p>
        </w:tc>
        <w:tc>
          <w:tcPr>
            <w:tcW w:w="1480" w:type="dxa"/>
            <w:vAlign w:val="bottom"/>
            <w:vMerge w:val="restart"/>
          </w:tcPr>
          <w:p>
            <w:pPr>
              <w:jc w:val="right"/>
              <w:ind w:right="492"/>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1060" w:type="dxa"/>
            <w:vAlign w:val="bottom"/>
          </w:tcPr>
          <w:p>
            <w:pPr>
              <w:jc w:val="center"/>
              <w:ind w:left="383"/>
              <w:spacing w:after="0" w:line="106" w:lineRule="exact"/>
              <w:rPr>
                <w:sz w:val="20"/>
                <w:szCs w:val="20"/>
                <w:color w:val="auto"/>
              </w:rPr>
            </w:pPr>
            <w:r>
              <w:rPr>
                <w:rFonts w:ascii="Arial" w:cs="Arial" w:eastAsia="Arial" w:hAnsi="Arial"/>
                <w:sz w:val="11"/>
                <w:szCs w:val="11"/>
                <w:b w:val="1"/>
                <w:bCs w:val="1"/>
                <w:color w:val="auto"/>
              </w:rPr>
              <w:t>Exercise</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Contractual</w:t>
            </w:r>
          </w:p>
        </w:tc>
        <w:tc>
          <w:tcPr>
            <w:tcW w:w="0" w:type="dxa"/>
            <w:vAlign w:val="bottom"/>
          </w:tcPr>
          <w:p>
            <w:pPr>
              <w:spacing w:after="0"/>
              <w:rPr>
                <w:sz w:val="1"/>
                <w:szCs w:val="1"/>
                <w:color w:val="auto"/>
              </w:rPr>
            </w:pPr>
          </w:p>
        </w:tc>
      </w:tr>
      <w:tr>
        <w:trPr>
          <w:trHeight w:val="138"/>
        </w:trPr>
        <w:tc>
          <w:tcPr>
            <w:tcW w:w="6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060" w:type="dxa"/>
            <w:vAlign w:val="bottom"/>
            <w:tcBorders>
              <w:bottom w:val="single" w:sz="8" w:color="auto"/>
            </w:tcBorders>
          </w:tcPr>
          <w:p>
            <w:pPr>
              <w:jc w:val="center"/>
              <w:ind w:left="383"/>
              <w:spacing w:after="0"/>
              <w:rPr>
                <w:sz w:val="20"/>
                <w:szCs w:val="20"/>
                <w:color w:val="auto"/>
              </w:rPr>
            </w:pPr>
            <w:r>
              <w:rPr>
                <w:rFonts w:ascii="Arial" w:cs="Arial" w:eastAsia="Arial" w:hAnsi="Arial"/>
                <w:sz w:val="11"/>
                <w:szCs w:val="11"/>
                <w:b w:val="1"/>
                <w:bCs w:val="1"/>
                <w:color w:val="auto"/>
                <w:w w:val="96"/>
              </w:rPr>
              <w:t>Price</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Term</w:t>
            </w: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Outstanding at December 31, 2024</w:t>
            </w:r>
          </w:p>
        </w:tc>
        <w:tc>
          <w:tcPr>
            <w:tcW w:w="14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15,106</w:t>
            </w:r>
          </w:p>
        </w:tc>
        <w:tc>
          <w:tcPr>
            <w:tcW w:w="1140" w:type="dxa"/>
            <w:vAlign w:val="bottom"/>
            <w:gridSpan w:val="2"/>
            <w:shd w:val="clear" w:color="auto" w:fill="E0E7ED"/>
          </w:tcPr>
          <w:p>
            <w:pPr>
              <w:jc w:val="right"/>
              <w:ind w:right="903"/>
              <w:spacing w:after="0"/>
              <w:rPr>
                <w:sz w:val="20"/>
                <w:szCs w:val="20"/>
                <w:color w:val="auto"/>
              </w:rPr>
            </w:pPr>
            <w:r>
              <w:rPr>
                <w:rFonts w:ascii="Arial" w:cs="Arial" w:eastAsia="Arial" w:hAnsi="Arial"/>
                <w:sz w:val="14"/>
                <w:szCs w:val="14"/>
                <w:color w:val="auto"/>
              </w:rPr>
              <w:t>$</w:t>
            </w:r>
          </w:p>
        </w:tc>
        <w:tc>
          <w:tcPr>
            <w:tcW w:w="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23.53</w:t>
            </w:r>
          </w:p>
        </w:tc>
        <w:tc>
          <w:tcPr>
            <w:tcW w:w="80" w:type="dxa"/>
            <w:vAlign w:val="bottom"/>
            <w:shd w:val="clear" w:color="auto" w:fill="E0E7ED"/>
          </w:tcPr>
          <w:p>
            <w:pPr>
              <w:spacing w:after="0"/>
              <w:rPr>
                <w:sz w:val="17"/>
                <w:szCs w:val="17"/>
                <w:color w:val="auto"/>
              </w:rPr>
            </w:pPr>
          </w:p>
        </w:tc>
        <w:tc>
          <w:tcPr>
            <w:tcW w:w="1480" w:type="dxa"/>
            <w:vAlign w:val="bottom"/>
            <w:shd w:val="clear" w:color="auto" w:fill="E0E7ED"/>
          </w:tcPr>
          <w:p>
            <w:pPr>
              <w:ind w:left="800"/>
              <w:spacing w:after="0"/>
              <w:rPr>
                <w:sz w:val="20"/>
                <w:szCs w:val="20"/>
                <w:color w:val="auto"/>
              </w:rPr>
            </w:pPr>
            <w:r>
              <w:rPr>
                <w:rFonts w:ascii="Arial" w:cs="Arial" w:eastAsia="Arial" w:hAnsi="Arial"/>
                <w:sz w:val="14"/>
                <w:szCs w:val="14"/>
                <w:color w:val="auto"/>
              </w:rPr>
              <w:t>1.87 years</w:t>
            </w:r>
          </w:p>
        </w:tc>
        <w:tc>
          <w:tcPr>
            <w:tcW w:w="0" w:type="dxa"/>
            <w:vAlign w:val="bottom"/>
          </w:tcPr>
          <w:p>
            <w:pPr>
              <w:spacing w:after="0"/>
              <w:rPr>
                <w:sz w:val="1"/>
                <w:szCs w:val="1"/>
                <w:color w:val="auto"/>
              </w:rPr>
            </w:pPr>
          </w:p>
        </w:tc>
      </w:tr>
      <w:tr>
        <w:trPr>
          <w:trHeight w:val="202"/>
        </w:trPr>
        <w:tc>
          <w:tcPr>
            <w:tcW w:w="6660" w:type="dxa"/>
            <w:vAlign w:val="bottom"/>
            <w:gridSpan w:val="2"/>
          </w:tcPr>
          <w:p>
            <w:pPr>
              <w:ind w:left="140"/>
              <w:spacing w:after="0"/>
              <w:rPr>
                <w:sz w:val="20"/>
                <w:szCs w:val="20"/>
                <w:color w:val="auto"/>
              </w:rPr>
            </w:pPr>
            <w:r>
              <w:rPr>
                <w:rFonts w:ascii="Arial" w:cs="Arial" w:eastAsia="Arial" w:hAnsi="Arial"/>
                <w:sz w:val="14"/>
                <w:szCs w:val="14"/>
                <w:color w:val="auto"/>
              </w:rPr>
              <w:t>Exercised</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Forfeited</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52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Outstanding at March 31, 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23.53</w:t>
            </w:r>
          </w:p>
        </w:tc>
        <w:tc>
          <w:tcPr>
            <w:tcW w:w="80" w:type="dxa"/>
            <w:vAlign w:val="bottom"/>
          </w:tcPr>
          <w:p>
            <w:pPr>
              <w:spacing w:after="0"/>
              <w:rPr>
                <w:sz w:val="18"/>
                <w:szCs w:val="18"/>
                <w:color w:val="auto"/>
              </w:rPr>
            </w:pPr>
          </w:p>
        </w:tc>
        <w:tc>
          <w:tcPr>
            <w:tcW w:w="1480" w:type="dxa"/>
            <w:vAlign w:val="bottom"/>
          </w:tcPr>
          <w:p>
            <w:pPr>
              <w:ind w:left="800"/>
              <w:spacing w:after="0"/>
              <w:rPr>
                <w:sz w:val="20"/>
                <w:szCs w:val="20"/>
                <w:color w:val="auto"/>
              </w:rPr>
            </w:pPr>
            <w:r>
              <w:rPr>
                <w:rFonts w:ascii="Arial" w:cs="Arial" w:eastAsia="Arial" w:hAnsi="Arial"/>
                <w:sz w:val="14"/>
                <w:szCs w:val="14"/>
                <w:color w:val="auto"/>
              </w:rPr>
              <w:t>1.63 years</w:t>
            </w:r>
          </w:p>
        </w:tc>
        <w:tc>
          <w:tcPr>
            <w:tcW w:w="0" w:type="dxa"/>
            <w:vAlign w:val="bottom"/>
          </w:tcPr>
          <w:p>
            <w:pPr>
              <w:spacing w:after="0"/>
              <w:rPr>
                <w:sz w:val="1"/>
                <w:szCs w:val="1"/>
                <w:color w:val="auto"/>
              </w:rPr>
            </w:pPr>
          </w:p>
        </w:tc>
      </w:tr>
      <w:tr>
        <w:trPr>
          <w:trHeight w:val="20"/>
        </w:trPr>
        <w:tc>
          <w:tcPr>
            <w:tcW w:w="65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060" w:type="dxa"/>
            <w:vAlign w:val="bottom"/>
            <w:tcBorders>
              <w:bottom w:val="single" w:sz="8" w:color="E0E7ED"/>
            </w:tcBorders>
          </w:tcPr>
          <w:p>
            <w:pPr>
              <w:spacing w:after="0" w:line="20" w:lineRule="exact"/>
              <w:rPr>
                <w:sz w:val="1"/>
                <w:szCs w:val="1"/>
                <w:color w:val="auto"/>
              </w:rPr>
            </w:pPr>
          </w:p>
        </w:tc>
        <w:tc>
          <w:tcPr>
            <w:tcW w:w="4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5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Exercisable at March 31, 2025</w:t>
            </w:r>
          </w:p>
        </w:tc>
        <w:tc>
          <w:tcPr>
            <w:tcW w:w="1480" w:type="dxa"/>
            <w:vAlign w:val="bottom"/>
          </w:tcPr>
          <w:p>
            <w:pPr>
              <w:jc w:val="right"/>
              <w:spacing w:after="0"/>
              <w:rPr>
                <w:sz w:val="20"/>
                <w:szCs w:val="20"/>
                <w:color w:val="auto"/>
              </w:rPr>
            </w:pPr>
            <w:r>
              <w:rPr>
                <w:rFonts w:ascii="Arial" w:cs="Arial" w:eastAsia="Arial" w:hAnsi="Arial"/>
                <w:sz w:val="14"/>
                <w:szCs w:val="14"/>
                <w:color w:val="auto"/>
              </w:rPr>
              <w:t>15,106</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23.53</w:t>
            </w:r>
          </w:p>
        </w:tc>
        <w:tc>
          <w:tcPr>
            <w:tcW w:w="80" w:type="dxa"/>
            <w:vAlign w:val="bottom"/>
          </w:tcPr>
          <w:p>
            <w:pPr>
              <w:spacing w:after="0"/>
              <w:rPr>
                <w:sz w:val="16"/>
                <w:szCs w:val="16"/>
                <w:color w:val="auto"/>
              </w:rPr>
            </w:pPr>
          </w:p>
        </w:tc>
        <w:tc>
          <w:tcPr>
            <w:tcW w:w="1480" w:type="dxa"/>
            <w:vAlign w:val="bottom"/>
          </w:tcPr>
          <w:p>
            <w:pPr>
              <w:ind w:left="800"/>
              <w:spacing w:after="0"/>
              <w:rPr>
                <w:sz w:val="20"/>
                <w:szCs w:val="20"/>
                <w:color w:val="auto"/>
              </w:rPr>
            </w:pPr>
            <w:r>
              <w:rPr>
                <w:rFonts w:ascii="Arial" w:cs="Arial" w:eastAsia="Arial" w:hAnsi="Arial"/>
                <w:sz w:val="14"/>
                <w:szCs w:val="14"/>
                <w:color w:val="auto"/>
              </w:rPr>
              <w:t>1.63 years</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Settled Appreciation Rights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Busey issued replacement awards in the form of SSARs as part of the acquisition of CrossFirst. These awards were issued under the CrossFirst Bankshares 2018 Omnibus Incentive Equity Incentive Plan with exercise prices equal to the closing price of CrossFirst’s common shares on the original date for each award adjusted by the Exchange Ratio of 0.6675, rounded up to the nearest cent. At grant, SSARs typically vested ratably over seven years of continuous service with a ten-year or fifteen-year contractual term. Replacement SSARs have a weighted average remaining contractual term of 5.4 years, and unvested replacement SSARs have a weighted average remaining vesting period of 3.2 years. The fair value of each SSAR was estimated at acquisition date using a Monte Carlo simulation since the awards were all in-the-money.</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A summary of SSAR activity during 2025 is presented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rPr>
              <w:t>Weighted-</w:t>
            </w: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12"/>
        </w:trPr>
        <w:tc>
          <w:tcPr>
            <w:tcW w:w="6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3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06"/>
        </w:trPr>
        <w:tc>
          <w:tcPr>
            <w:tcW w:w="6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jc w:val="center"/>
              <w:ind w:left="363"/>
              <w:spacing w:after="0" w:line="106" w:lineRule="exact"/>
              <w:rPr>
                <w:sz w:val="20"/>
                <w:szCs w:val="20"/>
                <w:color w:val="auto"/>
              </w:rPr>
            </w:pPr>
            <w:r>
              <w:rPr>
                <w:rFonts w:ascii="Arial" w:cs="Arial" w:eastAsia="Arial" w:hAnsi="Arial"/>
                <w:sz w:val="11"/>
                <w:szCs w:val="11"/>
                <w:b w:val="1"/>
                <w:bCs w:val="1"/>
                <w:color w:val="auto"/>
              </w:rPr>
              <w:t>Average</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Remaining</w:t>
            </w:r>
          </w:p>
        </w:tc>
        <w:tc>
          <w:tcPr>
            <w:tcW w:w="0" w:type="dxa"/>
            <w:vAlign w:val="bottom"/>
          </w:tcPr>
          <w:p>
            <w:pPr>
              <w:spacing w:after="0"/>
              <w:rPr>
                <w:sz w:val="1"/>
                <w:szCs w:val="1"/>
                <w:color w:val="auto"/>
              </w:rPr>
            </w:pPr>
          </w:p>
        </w:tc>
      </w:tr>
      <w:tr>
        <w:trPr>
          <w:trHeight w:val="106"/>
        </w:trPr>
        <w:tc>
          <w:tcPr>
            <w:tcW w:w="69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SSARs</w:t>
            </w:r>
          </w:p>
        </w:tc>
        <w:tc>
          <w:tcPr>
            <w:tcW w:w="80" w:type="dxa"/>
            <w:vAlign w:val="bottom"/>
            <w:vMerge w:val="restart"/>
          </w:tcPr>
          <w:p>
            <w:pPr>
              <w:spacing w:after="0"/>
              <w:rPr>
                <w:sz w:val="9"/>
                <w:szCs w:val="9"/>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940" w:type="dxa"/>
            <w:vAlign w:val="bottom"/>
          </w:tcPr>
          <w:p>
            <w:pPr>
              <w:jc w:val="center"/>
              <w:ind w:left="383"/>
              <w:spacing w:after="0" w:line="106" w:lineRule="exact"/>
              <w:rPr>
                <w:sz w:val="20"/>
                <w:szCs w:val="20"/>
                <w:color w:val="auto"/>
              </w:rPr>
            </w:pPr>
            <w:r>
              <w:rPr>
                <w:rFonts w:ascii="Arial" w:cs="Arial" w:eastAsia="Arial" w:hAnsi="Arial"/>
                <w:sz w:val="11"/>
                <w:szCs w:val="11"/>
                <w:b w:val="1"/>
                <w:bCs w:val="1"/>
                <w:color w:val="auto"/>
              </w:rPr>
              <w:t>Exercise</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Contractual</w:t>
            </w:r>
          </w:p>
        </w:tc>
        <w:tc>
          <w:tcPr>
            <w:tcW w:w="0" w:type="dxa"/>
            <w:vAlign w:val="bottom"/>
          </w:tcPr>
          <w:p>
            <w:pPr>
              <w:spacing w:after="0"/>
              <w:rPr>
                <w:sz w:val="1"/>
                <w:szCs w:val="1"/>
                <w:color w:val="auto"/>
              </w:rPr>
            </w:pPr>
          </w:p>
        </w:tc>
      </w:tr>
      <w:tr>
        <w:trPr>
          <w:trHeight w:val="138"/>
        </w:trPr>
        <w:tc>
          <w:tcPr>
            <w:tcW w:w="69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13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940" w:type="dxa"/>
            <w:vAlign w:val="bottom"/>
            <w:tcBorders>
              <w:bottom w:val="single" w:sz="8" w:color="auto"/>
            </w:tcBorders>
          </w:tcPr>
          <w:p>
            <w:pPr>
              <w:jc w:val="center"/>
              <w:ind w:left="363"/>
              <w:spacing w:after="0"/>
              <w:rPr>
                <w:sz w:val="20"/>
                <w:szCs w:val="20"/>
                <w:color w:val="auto"/>
              </w:rPr>
            </w:pPr>
            <w:r>
              <w:rPr>
                <w:rFonts w:ascii="Arial" w:cs="Arial" w:eastAsia="Arial" w:hAnsi="Arial"/>
                <w:sz w:val="11"/>
                <w:szCs w:val="11"/>
                <w:b w:val="1"/>
                <w:bCs w:val="1"/>
                <w:color w:val="auto"/>
              </w:rPr>
              <w:t>Price</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Term</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Outstanding at December 31, 2024</w:t>
            </w:r>
          </w:p>
        </w:tc>
        <w:tc>
          <w:tcPr>
            <w:tcW w:w="13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0E7ED"/>
          </w:tcPr>
          <w:p>
            <w:pPr>
              <w:jc w:val="right"/>
              <w:ind w:right="783"/>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E7E6E6"/>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4"/>
                <w:szCs w:val="14"/>
                <w:color w:val="auto"/>
              </w:rPr>
              <w:t>Replacement of CrossFirst SSARs</w:t>
            </w:r>
          </w:p>
        </w:tc>
        <w:tc>
          <w:tcPr>
            <w:tcW w:w="1380" w:type="dxa"/>
            <w:vAlign w:val="bottom"/>
          </w:tcPr>
          <w:p>
            <w:pPr>
              <w:jc w:val="right"/>
              <w:spacing w:after="0"/>
              <w:rPr>
                <w:sz w:val="20"/>
                <w:szCs w:val="20"/>
                <w:color w:val="auto"/>
              </w:rPr>
            </w:pPr>
            <w:r>
              <w:rPr>
                <w:rFonts w:ascii="Arial" w:cs="Arial" w:eastAsia="Arial" w:hAnsi="Arial"/>
                <w:sz w:val="14"/>
                <w:szCs w:val="14"/>
                <w:color w:val="auto"/>
              </w:rPr>
              <w:t>424,390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15.78</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Exercised</w:t>
            </w:r>
          </w:p>
        </w:tc>
        <w:tc>
          <w:tcPr>
            <w:tcW w:w="13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(9,535)</w:t>
            </w:r>
          </w:p>
        </w:tc>
        <w:tc>
          <w:tcPr>
            <w:tcW w:w="80" w:type="dxa"/>
            <w:vAlign w:val="bottom"/>
            <w:shd w:val="clear" w:color="auto" w:fill="E0E7ED"/>
          </w:tcPr>
          <w:p>
            <w:pPr>
              <w:spacing w:after="0"/>
              <w:rPr>
                <w:sz w:val="18"/>
                <w:szCs w:val="18"/>
                <w:color w:val="auto"/>
              </w:rPr>
            </w:pPr>
          </w:p>
        </w:tc>
        <w:tc>
          <w:tcPr>
            <w:tcW w:w="940" w:type="dxa"/>
            <w:vAlign w:val="bottom"/>
            <w:shd w:val="clear" w:color="auto" w:fill="E0E7ED"/>
          </w:tcPr>
          <w:p>
            <w:pPr>
              <w:spacing w:after="0"/>
              <w:rPr>
                <w:sz w:val="18"/>
                <w:szCs w:val="18"/>
                <w:color w:val="auto"/>
              </w:rPr>
            </w:pPr>
          </w:p>
        </w:tc>
        <w:tc>
          <w:tcPr>
            <w:tcW w:w="420" w:type="dxa"/>
            <w:vAlign w:val="bottom"/>
            <w:shd w:val="clear" w:color="auto" w:fill="E0E7ED"/>
          </w:tcPr>
          <w:p>
            <w:pPr>
              <w:jc w:val="right"/>
              <w:spacing w:after="0"/>
              <w:rPr>
                <w:sz w:val="20"/>
                <w:szCs w:val="20"/>
                <w:color w:val="auto"/>
              </w:rPr>
            </w:pPr>
            <w:r>
              <w:rPr>
                <w:rFonts w:ascii="Arial" w:cs="Arial" w:eastAsia="Arial" w:hAnsi="Arial"/>
                <w:sz w:val="14"/>
                <w:szCs w:val="14"/>
                <w:color w:val="auto"/>
                <w:w w:val="96"/>
              </w:rPr>
              <w:t>11.24</w:t>
            </w:r>
          </w:p>
        </w:tc>
        <w:tc>
          <w:tcPr>
            <w:tcW w:w="100" w:type="dxa"/>
            <w:vAlign w:val="bottom"/>
            <w:shd w:val="clear" w:color="auto" w:fill="E0E7ED"/>
          </w:tcPr>
          <w:p>
            <w:pPr>
              <w:spacing w:after="0"/>
              <w:rPr>
                <w:sz w:val="18"/>
                <w:szCs w:val="18"/>
                <w:color w:val="auto"/>
              </w:rPr>
            </w:pPr>
          </w:p>
        </w:tc>
        <w:tc>
          <w:tcPr>
            <w:tcW w:w="136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Outstanding at March 31, 2025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414,855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15.89</w:t>
            </w:r>
          </w:p>
        </w:tc>
        <w:tc>
          <w:tcPr>
            <w:tcW w:w="100" w:type="dxa"/>
            <w:vAlign w:val="bottom"/>
          </w:tcPr>
          <w:p>
            <w:pPr>
              <w:spacing w:after="0"/>
              <w:rPr>
                <w:sz w:val="18"/>
                <w:szCs w:val="18"/>
                <w:color w:val="auto"/>
              </w:rPr>
            </w:pPr>
          </w:p>
        </w:tc>
        <w:tc>
          <w:tcPr>
            <w:tcW w:w="1360" w:type="dxa"/>
            <w:vAlign w:val="bottom"/>
          </w:tcPr>
          <w:p>
            <w:pPr>
              <w:ind w:left="680"/>
              <w:spacing w:after="0"/>
              <w:rPr>
                <w:sz w:val="20"/>
                <w:szCs w:val="20"/>
                <w:color w:val="auto"/>
              </w:rPr>
            </w:pPr>
            <w:r>
              <w:rPr>
                <w:rFonts w:ascii="Arial" w:cs="Arial" w:eastAsia="Arial" w:hAnsi="Arial"/>
                <w:sz w:val="14"/>
                <w:szCs w:val="14"/>
                <w:color w:val="auto"/>
              </w:rPr>
              <w:t>5.41 years</w:t>
            </w:r>
          </w:p>
        </w:tc>
        <w:tc>
          <w:tcPr>
            <w:tcW w:w="0" w:type="dxa"/>
            <w:vAlign w:val="bottom"/>
          </w:tcPr>
          <w:p>
            <w:pPr>
              <w:spacing w:after="0"/>
              <w:rPr>
                <w:sz w:val="1"/>
                <w:szCs w:val="1"/>
                <w:color w:val="auto"/>
              </w:rPr>
            </w:pPr>
          </w:p>
        </w:tc>
      </w:tr>
      <w:tr>
        <w:trPr>
          <w:trHeight w:val="20"/>
        </w:trPr>
        <w:tc>
          <w:tcPr>
            <w:tcW w:w="692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42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36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9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3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4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3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Exercisable at March 31, 2025</w:t>
            </w:r>
          </w:p>
        </w:tc>
        <w:tc>
          <w:tcPr>
            <w:tcW w:w="1380" w:type="dxa"/>
            <w:vAlign w:val="bottom"/>
          </w:tcPr>
          <w:p>
            <w:pPr>
              <w:jc w:val="right"/>
              <w:spacing w:after="0"/>
              <w:rPr>
                <w:sz w:val="20"/>
                <w:szCs w:val="20"/>
                <w:color w:val="auto"/>
              </w:rPr>
            </w:pPr>
            <w:r>
              <w:rPr>
                <w:rFonts w:ascii="Arial" w:cs="Arial" w:eastAsia="Arial" w:hAnsi="Arial"/>
                <w:sz w:val="14"/>
                <w:szCs w:val="14"/>
                <w:color w:val="auto"/>
              </w:rPr>
              <w:t>366,177</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15.19</w:t>
            </w:r>
          </w:p>
        </w:tc>
        <w:tc>
          <w:tcPr>
            <w:tcW w:w="100" w:type="dxa"/>
            <w:vAlign w:val="bottom"/>
          </w:tcPr>
          <w:p>
            <w:pPr>
              <w:spacing w:after="0"/>
              <w:rPr>
                <w:sz w:val="16"/>
                <w:szCs w:val="16"/>
                <w:color w:val="auto"/>
              </w:rPr>
            </w:pPr>
          </w:p>
        </w:tc>
        <w:tc>
          <w:tcPr>
            <w:tcW w:w="1360" w:type="dxa"/>
            <w:vAlign w:val="bottom"/>
          </w:tcPr>
          <w:p>
            <w:pPr>
              <w:ind w:left="680"/>
              <w:spacing w:after="0"/>
              <w:rPr>
                <w:sz w:val="20"/>
                <w:szCs w:val="20"/>
                <w:color w:val="auto"/>
              </w:rPr>
            </w:pPr>
            <w:r>
              <w:rPr>
                <w:rFonts w:ascii="Arial" w:cs="Arial" w:eastAsia="Arial" w:hAnsi="Arial"/>
                <w:sz w:val="14"/>
                <w:szCs w:val="14"/>
                <w:color w:val="auto"/>
              </w:rPr>
              <w:t>5.32 years</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following table provides the range of assumptions used in the Monte Carlo simulations to value CrossFirst awards that were replaced at acquisition, the weighted average grant date fair value, and information related to SSARs exercised for the indicated periods, as well as, the remaining compensation cost to be recognized and the period over which the amount will be recognized as of the dates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 except per share amounts)</w:t>
            </w:r>
          </w:p>
        </w:tc>
        <w:tc>
          <w:tcPr>
            <w:tcW w:w="2040" w:type="dxa"/>
            <w:vAlign w:val="bottom"/>
            <w:tcBorders>
              <w:top w:val="single" w:sz="8" w:color="auto"/>
              <w:bottom w:val="single" w:sz="8" w:color="auto"/>
            </w:tcBorders>
          </w:tcPr>
          <w:p>
            <w:pPr>
              <w:jc w:val="center"/>
              <w:ind w:left="391"/>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1"/>
                <w:szCs w:val="11"/>
                <w:b w:val="1"/>
                <w:bCs w:val="1"/>
                <w:color w:val="auto"/>
              </w:rPr>
              <w:t>2024</w:t>
            </w:r>
          </w:p>
        </w:tc>
      </w:tr>
      <w:tr>
        <w:trPr>
          <w:trHeight w:val="186"/>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Assumptions</w:t>
            </w: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8"/>
        </w:trPr>
        <w:tc>
          <w:tcPr>
            <w:tcW w:w="73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Expected volatility</w:t>
            </w:r>
            <w:r>
              <w:rPr>
                <w:rFonts w:ascii="Arial" w:cs="Arial" w:eastAsia="Arial" w:hAnsi="Arial"/>
                <w:sz w:val="18"/>
                <w:szCs w:val="18"/>
                <w:color w:val="auto"/>
                <w:vertAlign w:val="superscript"/>
              </w:rPr>
              <w:t>1</w:t>
            </w:r>
          </w:p>
        </w:tc>
        <w:tc>
          <w:tcPr>
            <w:tcW w:w="2040" w:type="dxa"/>
            <w:vAlign w:val="bottom"/>
            <w:shd w:val="clear" w:color="auto" w:fill="E0E7ED"/>
          </w:tcPr>
          <w:p>
            <w:pPr>
              <w:jc w:val="center"/>
              <w:ind w:left="411"/>
              <w:spacing w:after="0"/>
              <w:rPr>
                <w:sz w:val="20"/>
                <w:szCs w:val="20"/>
                <w:color w:val="auto"/>
              </w:rPr>
            </w:pPr>
            <w:r>
              <w:rPr>
                <w:rFonts w:ascii="Arial" w:cs="Arial" w:eastAsia="Arial" w:hAnsi="Arial"/>
                <w:sz w:val="14"/>
                <w:szCs w:val="14"/>
                <w:color w:val="auto"/>
              </w:rPr>
              <w:t>29.10% – 36.70%</w:t>
            </w:r>
          </w:p>
        </w:tc>
        <w:tc>
          <w:tcPr>
            <w:tcW w:w="4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360" w:type="dxa"/>
            <w:vAlign w:val="bottom"/>
            <w:shd w:val="clear" w:color="auto" w:fill="E0E7ED"/>
          </w:tcPr>
          <w:p>
            <w:pPr>
              <w:ind w:left="1160"/>
              <w:spacing w:after="0"/>
              <w:rPr>
                <w:sz w:val="20"/>
                <w:szCs w:val="20"/>
                <w:color w:val="auto"/>
              </w:rPr>
            </w:pPr>
            <w:r>
              <w:rPr>
                <w:rFonts w:ascii="Arial" w:cs="Arial" w:eastAsia="Arial" w:hAnsi="Arial"/>
                <w:sz w:val="14"/>
                <w:szCs w:val="14"/>
                <w:color w:val="auto"/>
              </w:rPr>
              <w:t>—</w:t>
            </w:r>
          </w:p>
        </w:tc>
      </w:tr>
      <w:tr>
        <w:trPr>
          <w:trHeight w:val="212"/>
        </w:trPr>
        <w:tc>
          <w:tcPr>
            <w:tcW w:w="7320" w:type="dxa"/>
            <w:vAlign w:val="bottom"/>
          </w:tcPr>
          <w:p>
            <w:pPr>
              <w:ind w:left="140"/>
              <w:spacing w:after="0"/>
              <w:rPr>
                <w:sz w:val="20"/>
                <w:szCs w:val="20"/>
                <w:color w:val="auto"/>
              </w:rPr>
            </w:pPr>
            <w:r>
              <w:rPr>
                <w:rFonts w:ascii="Arial" w:cs="Arial" w:eastAsia="Arial" w:hAnsi="Arial"/>
                <w:sz w:val="14"/>
                <w:szCs w:val="14"/>
                <w:color w:val="auto"/>
              </w:rPr>
              <w:t>Expected dividends</w:t>
            </w:r>
            <w:r>
              <w:rPr>
                <w:rFonts w:ascii="Arial" w:cs="Arial" w:eastAsia="Arial" w:hAnsi="Arial"/>
                <w:sz w:val="18"/>
                <w:szCs w:val="18"/>
                <w:color w:val="auto"/>
                <w:vertAlign w:val="superscript"/>
              </w:rPr>
              <w:t>2</w:t>
            </w:r>
          </w:p>
        </w:tc>
        <w:tc>
          <w:tcPr>
            <w:tcW w:w="2040" w:type="dxa"/>
            <w:vAlign w:val="bottom"/>
          </w:tcPr>
          <w:p>
            <w:pPr>
              <w:jc w:val="center"/>
              <w:ind w:left="411"/>
              <w:spacing w:after="0"/>
              <w:rPr>
                <w:sz w:val="20"/>
                <w:szCs w:val="20"/>
                <w:color w:val="auto"/>
              </w:rPr>
            </w:pPr>
            <w:r>
              <w:rPr>
                <w:rFonts w:ascii="Arial" w:cs="Arial" w:eastAsia="Arial" w:hAnsi="Arial"/>
                <w:sz w:val="14"/>
                <w:szCs w:val="14"/>
                <w:color w:val="auto"/>
              </w:rPr>
              <w:t>4.17%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r>
      <w:tr>
        <w:trPr>
          <w:trHeight w:val="212"/>
        </w:trPr>
        <w:tc>
          <w:tcPr>
            <w:tcW w:w="73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Simulation term</w:t>
            </w:r>
            <w:r>
              <w:rPr>
                <w:rFonts w:ascii="Arial" w:cs="Arial" w:eastAsia="Arial" w:hAnsi="Arial"/>
                <w:sz w:val="18"/>
                <w:szCs w:val="18"/>
                <w:color w:val="auto"/>
                <w:vertAlign w:val="superscript"/>
              </w:rPr>
              <w:t>3, 4, 5</w:t>
            </w:r>
          </w:p>
        </w:tc>
        <w:tc>
          <w:tcPr>
            <w:tcW w:w="2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4.20 years – 5.69 years</w:t>
            </w:r>
          </w:p>
        </w:tc>
        <w:tc>
          <w:tcPr>
            <w:tcW w:w="4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360" w:type="dxa"/>
            <w:vAlign w:val="bottom"/>
            <w:shd w:val="clear" w:color="auto" w:fill="E0E7ED"/>
          </w:tcPr>
          <w:p>
            <w:pPr>
              <w:ind w:left="1160"/>
              <w:spacing w:after="0"/>
              <w:rPr>
                <w:sz w:val="20"/>
                <w:szCs w:val="20"/>
                <w:color w:val="auto"/>
              </w:rPr>
            </w:pPr>
            <w:r>
              <w:rPr>
                <w:rFonts w:ascii="Arial" w:cs="Arial" w:eastAsia="Arial" w:hAnsi="Arial"/>
                <w:sz w:val="14"/>
                <w:szCs w:val="14"/>
                <w:color w:val="auto"/>
              </w:rPr>
              <w:t>—</w:t>
            </w:r>
          </w:p>
        </w:tc>
      </w:tr>
      <w:tr>
        <w:trPr>
          <w:trHeight w:val="212"/>
        </w:trPr>
        <w:tc>
          <w:tcPr>
            <w:tcW w:w="7320" w:type="dxa"/>
            <w:vAlign w:val="bottom"/>
          </w:tcPr>
          <w:p>
            <w:pPr>
              <w:ind w:left="140"/>
              <w:spacing w:after="0"/>
              <w:rPr>
                <w:sz w:val="20"/>
                <w:szCs w:val="20"/>
                <w:color w:val="auto"/>
              </w:rPr>
            </w:pPr>
            <w:r>
              <w:rPr>
                <w:rFonts w:ascii="Arial" w:cs="Arial" w:eastAsia="Arial" w:hAnsi="Arial"/>
                <w:sz w:val="14"/>
                <w:szCs w:val="14"/>
                <w:color w:val="auto"/>
              </w:rPr>
              <w:t>Risk-free rate</w:t>
            </w:r>
            <w:r>
              <w:rPr>
                <w:rFonts w:ascii="Arial" w:cs="Arial" w:eastAsia="Arial" w:hAnsi="Arial"/>
                <w:sz w:val="18"/>
                <w:szCs w:val="18"/>
                <w:color w:val="auto"/>
                <w:vertAlign w:val="superscript"/>
              </w:rPr>
              <w:t>6</w:t>
            </w:r>
          </w:p>
        </w:tc>
        <w:tc>
          <w:tcPr>
            <w:tcW w:w="2040" w:type="dxa"/>
            <w:vAlign w:val="bottom"/>
          </w:tcPr>
          <w:p>
            <w:pPr>
              <w:jc w:val="center"/>
              <w:ind w:left="411"/>
              <w:spacing w:after="0"/>
              <w:rPr>
                <w:sz w:val="20"/>
                <w:szCs w:val="20"/>
                <w:color w:val="auto"/>
              </w:rPr>
            </w:pPr>
            <w:r>
              <w:rPr>
                <w:rFonts w:ascii="Arial" w:cs="Arial" w:eastAsia="Arial" w:hAnsi="Arial"/>
                <w:sz w:val="14"/>
                <w:szCs w:val="14"/>
                <w:color w:val="auto"/>
              </w:rPr>
              <w:t>3.97% – 4.03%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r>
      <w:tr>
        <w:trPr>
          <w:trHeight w:val="212"/>
        </w:trPr>
        <w:tc>
          <w:tcPr>
            <w:tcW w:w="7320" w:type="dxa"/>
            <w:vAlign w:val="bottom"/>
            <w:shd w:val="clear" w:color="auto" w:fill="E0E7ED"/>
          </w:tcPr>
          <w:p>
            <w:pPr>
              <w:ind w:left="20"/>
              <w:spacing w:after="0"/>
              <w:rPr>
                <w:sz w:val="20"/>
                <w:szCs w:val="20"/>
                <w:color w:val="auto"/>
              </w:rPr>
            </w:pPr>
            <w:r>
              <w:rPr>
                <w:rFonts w:ascii="Arial" w:cs="Arial" w:eastAsia="Arial" w:hAnsi="Arial"/>
                <w:sz w:val="14"/>
                <w:szCs w:val="14"/>
                <w:color w:val="auto"/>
              </w:rPr>
              <w:t>Weighted average grant date fair value per share</w:t>
            </w:r>
          </w:p>
        </w:tc>
        <w:tc>
          <w:tcPr>
            <w:tcW w:w="2040" w:type="dxa"/>
            <w:vAlign w:val="bottom"/>
            <w:shd w:val="clear" w:color="auto" w:fill="E0E7ED"/>
          </w:tcPr>
          <w:p>
            <w:pPr>
              <w:jc w:val="right"/>
              <w:ind w:right="189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E0E7ED"/>
          </w:tcPr>
          <w:p>
            <w:pPr>
              <w:spacing w:after="0"/>
              <w:rPr>
                <w:sz w:val="18"/>
                <w:szCs w:val="18"/>
                <w:color w:val="auto"/>
              </w:rPr>
            </w:pPr>
          </w:p>
        </w:tc>
        <w:tc>
          <w:tcPr>
            <w:tcW w:w="1360" w:type="dxa"/>
            <w:vAlign w:val="bottom"/>
            <w:shd w:val="clear" w:color="auto" w:fill="E0E7ED"/>
          </w:tcPr>
          <w:p>
            <w:pPr>
              <w:ind w:left="1160"/>
              <w:spacing w:after="0"/>
              <w:rPr>
                <w:sz w:val="20"/>
                <w:szCs w:val="20"/>
                <w:color w:val="auto"/>
              </w:rPr>
            </w:pPr>
            <w:r>
              <w:rPr>
                <w:rFonts w:ascii="Arial" w:cs="Arial" w:eastAsia="Arial" w:hAnsi="Arial"/>
                <w:sz w:val="14"/>
                <w:szCs w:val="14"/>
                <w:color w:val="auto"/>
              </w:rPr>
              <w:t>—</w:t>
            </w:r>
          </w:p>
        </w:tc>
      </w:tr>
      <w:tr>
        <w:trPr>
          <w:trHeight w:val="202"/>
        </w:trPr>
        <w:tc>
          <w:tcPr>
            <w:tcW w:w="7320" w:type="dxa"/>
            <w:vAlign w:val="bottom"/>
          </w:tcPr>
          <w:p>
            <w:pPr>
              <w:ind w:left="20"/>
              <w:spacing w:after="0"/>
              <w:rPr>
                <w:sz w:val="20"/>
                <w:szCs w:val="20"/>
                <w:color w:val="auto"/>
              </w:rPr>
            </w:pPr>
            <w:r>
              <w:rPr>
                <w:rFonts w:ascii="Arial" w:cs="Arial" w:eastAsia="Arial" w:hAnsi="Arial"/>
                <w:sz w:val="14"/>
                <w:szCs w:val="14"/>
                <w:color w:val="auto"/>
              </w:rPr>
              <w:t>Aggregate intrinsic value of SSARs exercised</w:t>
            </w:r>
          </w:p>
        </w:tc>
        <w:tc>
          <w:tcPr>
            <w:tcW w:w="2040" w:type="dxa"/>
            <w:vAlign w:val="bottom"/>
          </w:tcPr>
          <w:p>
            <w:pPr>
              <w:jc w:val="right"/>
              <w:ind w:right="1891"/>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r>
      <w:tr>
        <w:trPr>
          <w:trHeight w:val="222"/>
        </w:trPr>
        <w:tc>
          <w:tcPr>
            <w:tcW w:w="732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fair value of SSARs vested during the year</w:t>
            </w:r>
          </w:p>
        </w:tc>
        <w:tc>
          <w:tcPr>
            <w:tcW w:w="2040" w:type="dxa"/>
            <w:vAlign w:val="bottom"/>
            <w:shd w:val="clear" w:color="auto" w:fill="E0E7ED"/>
          </w:tcPr>
          <w:p>
            <w:pPr>
              <w:jc w:val="right"/>
              <w:ind w:right="189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9,013</w:t>
            </w:r>
          </w:p>
        </w:tc>
        <w:tc>
          <w:tcPr>
            <w:tcW w:w="100" w:type="dxa"/>
            <w:vAlign w:val="bottom"/>
            <w:shd w:val="clear" w:color="auto" w:fill="E0E7ED"/>
          </w:tcPr>
          <w:p>
            <w:pPr>
              <w:spacing w:after="0"/>
              <w:rPr>
                <w:sz w:val="19"/>
                <w:szCs w:val="19"/>
                <w:color w:val="auto"/>
              </w:rPr>
            </w:pPr>
          </w:p>
        </w:tc>
        <w:tc>
          <w:tcPr>
            <w:tcW w:w="1360" w:type="dxa"/>
            <w:vAlign w:val="bottom"/>
            <w:shd w:val="clear" w:color="auto" w:fill="E0E7ED"/>
          </w:tcPr>
          <w:p>
            <w:pPr>
              <w:ind w:left="1160"/>
              <w:spacing w:after="0"/>
              <w:rPr>
                <w:sz w:val="20"/>
                <w:szCs w:val="20"/>
                <w:color w:val="auto"/>
              </w:rPr>
            </w:pPr>
            <w:r>
              <w:rPr>
                <w:rFonts w:ascii="Arial" w:cs="Arial" w:eastAsia="Arial" w:hAnsi="Arial"/>
                <w:sz w:val="14"/>
                <w:szCs w:val="14"/>
                <w:color w:val="auto"/>
              </w:rPr>
              <w:t>—</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Expected volatility was calculated using a historical volatility of the Company’s stock price over a period commensurate with the simulation term of the SSARs.</w:t>
      </w:r>
    </w:p>
    <w:p>
      <w:pPr>
        <w:spacing w:after="0" w:line="11" w:lineRule="exact"/>
        <w:rPr>
          <w:rFonts w:ascii="Arial" w:cs="Arial" w:eastAsia="Arial" w:hAnsi="Arial"/>
          <w:sz w:val="11"/>
          <w:szCs w:val="11"/>
          <w:color w:val="auto"/>
        </w:rPr>
      </w:pPr>
    </w:p>
    <w:p>
      <w:pPr>
        <w:ind w:left="380" w:hanging="248"/>
        <w:spacing w:after="0"/>
        <w:tabs>
          <w:tab w:leader="none" w:pos="3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dividend yield was calculated using the Company’s annual dividend and closing stock price on the date of acquisition.</w:t>
      </w:r>
    </w:p>
    <w:p>
      <w:pPr>
        <w:spacing w:after="0" w:line="11" w:lineRule="exact"/>
        <w:rPr>
          <w:rFonts w:ascii="Arial" w:cs="Arial" w:eastAsia="Arial" w:hAnsi="Arial"/>
          <w:sz w:val="11"/>
          <w:szCs w:val="11"/>
          <w:color w:val="auto"/>
        </w:rPr>
      </w:pPr>
    </w:p>
    <w:p>
      <w:pPr>
        <w:ind w:left="380" w:hanging="248"/>
        <w:spacing w:after="0"/>
        <w:tabs>
          <w:tab w:leader="none" w:pos="3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simulation term was commensurate with the midpoint of the longest expected term across all SSARs and was impacted by expected exercise behavior and termination rate.</w:t>
      </w:r>
    </w:p>
    <w:p>
      <w:pPr>
        <w:spacing w:after="0" w:line="11" w:lineRule="exact"/>
        <w:rPr>
          <w:rFonts w:ascii="Arial" w:cs="Arial" w:eastAsia="Arial" w:hAnsi="Arial"/>
          <w:sz w:val="11"/>
          <w:szCs w:val="11"/>
          <w:color w:val="auto"/>
        </w:rPr>
      </w:pPr>
    </w:p>
    <w:p>
      <w:pPr>
        <w:ind w:left="380" w:hanging="248"/>
        <w:spacing w:after="0" w:line="251" w:lineRule="auto"/>
        <w:tabs>
          <w:tab w:leader="none" w:pos="379" w:val="left"/>
        </w:tabs>
        <w:numPr>
          <w:ilvl w:val="0"/>
          <w:numId w:val="14"/>
        </w:numPr>
        <w:rPr>
          <w:rFonts w:ascii="Arial" w:cs="Arial" w:eastAsia="Arial" w:hAnsi="Arial"/>
          <w:sz w:val="11"/>
          <w:szCs w:val="11"/>
          <w:color w:val="auto"/>
        </w:rPr>
      </w:pPr>
      <w:r>
        <w:rPr>
          <w:rFonts w:ascii="Arial" w:cs="Arial" w:eastAsia="Arial" w:hAnsi="Arial"/>
          <w:sz w:val="11"/>
          <w:szCs w:val="11"/>
          <w:color w:val="auto"/>
        </w:rPr>
        <w:t>As a component of determining the simulation term, exercise was assumed to occur at the earlier of the midpoint of i) the greater of the weighted average time to vest or the time the options are in the money, and the time the SSARs expires, ii) 90 days following the occurrence of a termination or iii) the end of the contractual term.</w:t>
      </w:r>
    </w:p>
    <w:p>
      <w:pPr>
        <w:ind w:left="380" w:hanging="248"/>
        <w:spacing w:after="0"/>
        <w:tabs>
          <w:tab w:leader="none" w:pos="3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As a component of determining the simulation term, termination rate was assumed to be between 25% and 50% in the first year following the acquisition and 5% for every year thereafter.</w:t>
      </w:r>
    </w:p>
    <w:p>
      <w:pPr>
        <w:spacing w:after="0" w:line="11" w:lineRule="exact"/>
        <w:rPr>
          <w:rFonts w:ascii="Arial" w:cs="Arial" w:eastAsia="Arial" w:hAnsi="Arial"/>
          <w:sz w:val="11"/>
          <w:szCs w:val="11"/>
          <w:color w:val="auto"/>
        </w:rPr>
      </w:pPr>
    </w:p>
    <w:p>
      <w:pPr>
        <w:ind w:left="380" w:hanging="248"/>
        <w:spacing w:after="0"/>
        <w:tabs>
          <w:tab w:leader="none" w:pos="3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risk-free rate for the simulation term of the SSARs was based on the continuously compounded semi-annual zero-coupon U.S. Treasury rates.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2020 Equity Plan</w:t>
      </w:r>
    </w:p>
    <w:p>
      <w:pPr>
        <w:spacing w:after="0" w:line="145" w:lineRule="exact"/>
        <w:rPr>
          <w:sz w:val="20"/>
          <w:szCs w:val="20"/>
          <w:color w:val="auto"/>
        </w:rPr>
      </w:pPr>
    </w:p>
    <w:p>
      <w:pPr>
        <w:jc w:val="both"/>
        <w:spacing w:after="0" w:line="262" w:lineRule="auto"/>
        <w:rPr>
          <w:rFonts w:ascii="Arial" w:cs="Arial" w:eastAsia="Arial" w:hAnsi="Arial"/>
          <w:sz w:val="14"/>
          <w:szCs w:val="14"/>
          <w:color w:val="0000FF"/>
        </w:rPr>
      </w:pPr>
      <w:r>
        <w:rPr>
          <w:rFonts w:ascii="Arial" w:cs="Arial" w:eastAsia="Arial" w:hAnsi="Arial"/>
          <w:sz w:val="14"/>
          <w:szCs w:val="14"/>
          <w:color w:val="auto"/>
        </w:rPr>
        <w:t xml:space="preserve">The 2020 Equity Plan was originally approved by stockholders at the 2020 Annual Meeting of Stockholders. A description of the 2020 Equity Plan, as originally approved, can be found in </w:t>
      </w:r>
      <w:hyperlink r:id="rId61">
        <w:r>
          <w:rPr>
            <w:rFonts w:ascii="Arial" w:cs="Arial" w:eastAsia="Arial" w:hAnsi="Arial"/>
            <w:sz w:val="14"/>
            <w:szCs w:val="14"/>
            <w:u w:val="single" w:color="auto"/>
            <w:color w:val="0000FF"/>
          </w:rPr>
          <w:t>Appendix A</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within </w:t>
      </w:r>
      <w:hyperlink r:id="rId62">
        <w:r>
          <w:rPr>
            <w:rFonts w:ascii="Arial" w:cs="Arial" w:eastAsia="Arial" w:hAnsi="Arial"/>
            <w:sz w:val="14"/>
            <w:szCs w:val="14"/>
            <w:u w:val="single" w:color="auto"/>
            <w:color w:val="0000FF"/>
          </w:rPr>
          <w:t>Busey’s Proxy Statement for the 2020 Annual Meeting of Stockholders filed on April 9, 2020</w:t>
        </w:r>
      </w:hyperlink>
      <w:r>
        <w:rPr>
          <w:rFonts w:ascii="Arial" w:cs="Arial" w:eastAsia="Arial" w:hAnsi="Arial"/>
          <w:sz w:val="14"/>
          <w:szCs w:val="14"/>
          <w:color w:val="auto"/>
        </w:rPr>
        <w:t xml:space="preserve">. An amendment and restatement of the 2020 Equity Plan was approved by stockholders at the 2023 Annual Meeting of Stockholders. Terms of the amended and restated 2020 Equity Plan are substantially identical to those of the originally approved 2020 Equity Plan, other than a 1,350,000 increase in the number of shares authorized for issuance under the plan. More information can be found in </w:t>
      </w:r>
      <w:hyperlink r:id="rId63">
        <w:r>
          <w:rPr>
            <w:rFonts w:ascii="Arial" w:cs="Arial" w:eastAsia="Arial" w:hAnsi="Arial"/>
            <w:sz w:val="14"/>
            <w:szCs w:val="14"/>
            <w:u w:val="single" w:color="auto"/>
            <w:color w:val="0000FF"/>
          </w:rPr>
          <w:t>Appendix A</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within </w:t>
      </w:r>
      <w:hyperlink r:id="rId64">
        <w:r>
          <w:rPr>
            <w:rFonts w:ascii="Arial" w:cs="Arial" w:eastAsia="Arial" w:hAnsi="Arial"/>
            <w:sz w:val="14"/>
            <w:szCs w:val="14"/>
            <w:u w:val="single" w:color="auto"/>
            <w:color w:val="0000FF"/>
          </w:rPr>
          <w:t>Busey’s Proxy Statement for the 2023 Annual Meeting of Stockholders filed on April 14, 2023</w:t>
        </w:r>
      </w:hyperlink>
      <w:r>
        <w:rPr>
          <w:rFonts w:ascii="Arial" w:cs="Arial" w:eastAsia="Arial" w:hAnsi="Arial"/>
          <w:sz w:val="14"/>
          <w:szCs w:val="14"/>
          <w:color w:val="000000"/>
        </w:rPr>
        <w:t>.</w:t>
      </w:r>
    </w:p>
    <w:p>
      <w:pPr>
        <w:spacing w:after="0" w:line="200" w:lineRule="exact"/>
        <w:rPr>
          <w:rFonts w:ascii="Arial" w:cs="Arial" w:eastAsia="Arial" w:hAnsi="Arial"/>
          <w:sz w:val="14"/>
          <w:szCs w:val="14"/>
          <w:color w:val="auto"/>
        </w:rPr>
      </w:pPr>
    </w:p>
    <w:p>
      <w:pPr>
        <w:spacing w:after="0" w:line="237" w:lineRule="exact"/>
        <w:rPr>
          <w:rFonts w:ascii="Arial" w:cs="Arial" w:eastAsia="Arial" w:hAnsi="Arial"/>
          <w:sz w:val="14"/>
          <w:szCs w:val="14"/>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46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 has granted RSU, PSU, and DSU awards under the terms of the 2020 Equity Plan. Upon vesting and delivery, shares are expected, though not required, to be issued from treasury stock. There were 685,004 shares available for issuance under the 2020 Equity Plan as of March 31, 2025.</w:t>
      </w:r>
    </w:p>
    <w:p>
      <w:pPr>
        <w:spacing w:after="0" w:line="8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description of RSU, PSU, and DSU awards granted in 2025 under the terms of the 2020 Equity Plan is provided below. Further information related to awards granted in prior years has been presented in the Annual Reports previously filed with the SEC corresponding to the year of each award grant.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RSU Awards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 grants RSU awards to members of management periodically throughout the year. RSU awards are stock-based awards for which vesting is conditional upon meeting established service criteria. Each RSU represents the future right to receive one share of Busey’s common stock. Recipients earn quarterly dividend equivalents on their respective RSUs, which entitle the recipients to additional units. Therefore, dividends earned each quarter compound based upon the updated unit balances.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March 26, 2025, under the terms of the 2020 Equity Plan, Busey granted 348,269 RSUs to members of management. The grant date fair value of the award was $7.7 million, which will be recognized as compensation expense over the requisite service period. This grant will vest in equal installments on each of the first three anniversaries of the grant date. The terms of these awards included an accelerated vesting provision upon eligible retirement from Busey, after a one-year minimum requisite service period.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A summary of changes in Busey’s RSU awards for the three months ended March 31, 2025,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ind w:right="214"/>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06"/>
        </w:trPr>
        <w:tc>
          <w:tcPr>
            <w:tcW w:w="8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14"/>
              <w:spacing w:after="0" w:line="106"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06"/>
        </w:trPr>
        <w:tc>
          <w:tcPr>
            <w:tcW w:w="8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RSU Awards</w:t>
            </w:r>
          </w:p>
        </w:tc>
        <w:tc>
          <w:tcPr>
            <w:tcW w:w="80" w:type="dxa"/>
            <w:vAlign w:val="bottom"/>
            <w:vMerge w:val="restart"/>
          </w:tcPr>
          <w:p>
            <w:pPr>
              <w:spacing w:after="0"/>
              <w:rPr>
                <w:sz w:val="9"/>
                <w:szCs w:val="9"/>
                <w:color w:val="auto"/>
              </w:rPr>
            </w:pPr>
          </w:p>
        </w:tc>
        <w:tc>
          <w:tcPr>
            <w:tcW w:w="1500" w:type="dxa"/>
            <w:vAlign w:val="bottom"/>
            <w:vMerge w:val="restart"/>
          </w:tcPr>
          <w:p>
            <w:pPr>
              <w:jc w:val="right"/>
              <w:ind w:right="491"/>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14"/>
              <w:spacing w:after="0" w:line="106" w:lineRule="exact"/>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149"/>
        </w:trPr>
        <w:tc>
          <w:tcPr>
            <w:tcW w:w="81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E0E7ED"/>
            </w:tcBorders>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E0E7ED"/>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203"/>
        </w:trPr>
        <w:tc>
          <w:tcPr>
            <w:tcW w:w="822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Nonvested at December 31, 2024</w:t>
            </w:r>
          </w:p>
        </w:tc>
        <w:tc>
          <w:tcPr>
            <w:tcW w:w="15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1,066,772</w:t>
            </w:r>
          </w:p>
        </w:tc>
        <w:tc>
          <w:tcPr>
            <w:tcW w:w="360" w:type="dxa"/>
            <w:vAlign w:val="bottom"/>
            <w:gridSpan w:val="2"/>
            <w:shd w:val="clear" w:color="auto" w:fill="E0E7ED"/>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202"/>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Conversion of Busey ROATCE PSUs to RSUs</w:t>
            </w:r>
          </w:p>
        </w:tc>
        <w:tc>
          <w:tcPr>
            <w:tcW w:w="1500" w:type="dxa"/>
            <w:vAlign w:val="bottom"/>
          </w:tcPr>
          <w:p>
            <w:pPr>
              <w:jc w:val="right"/>
              <w:spacing w:after="0"/>
              <w:rPr>
                <w:sz w:val="20"/>
                <w:szCs w:val="20"/>
                <w:color w:val="auto"/>
              </w:rPr>
            </w:pPr>
            <w:r>
              <w:rPr>
                <w:rFonts w:ascii="Arial" w:cs="Arial" w:eastAsia="Arial" w:hAnsi="Arial"/>
                <w:sz w:val="14"/>
                <w:szCs w:val="14"/>
                <w:color w:val="auto"/>
              </w:rPr>
              <w:t>157,094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23.99</w:t>
            </w:r>
          </w:p>
        </w:tc>
        <w:tc>
          <w:tcPr>
            <w:tcW w:w="0" w:type="dxa"/>
            <w:vAlign w:val="bottom"/>
          </w:tcPr>
          <w:p>
            <w:pPr>
              <w:spacing w:after="0"/>
              <w:rPr>
                <w:sz w:val="1"/>
                <w:szCs w:val="1"/>
                <w:color w:val="auto"/>
              </w:rPr>
            </w:pPr>
          </w:p>
        </w:tc>
      </w:tr>
      <w:tr>
        <w:trPr>
          <w:trHeight w:val="222"/>
        </w:trPr>
        <w:tc>
          <w:tcPr>
            <w:tcW w:w="82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Replacement of CrossFirst RSUs and PSUs</w:t>
            </w:r>
          </w:p>
        </w:tc>
        <w:tc>
          <w:tcPr>
            <w:tcW w:w="15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341,048</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23.99</w:t>
            </w:r>
          </w:p>
        </w:tc>
        <w:tc>
          <w:tcPr>
            <w:tcW w:w="0" w:type="dxa"/>
            <w:vAlign w:val="bottom"/>
          </w:tcPr>
          <w:p>
            <w:pPr>
              <w:spacing w:after="0"/>
              <w:rPr>
                <w:sz w:val="1"/>
                <w:szCs w:val="1"/>
                <w:color w:val="auto"/>
              </w:rPr>
            </w:pPr>
          </w:p>
        </w:tc>
      </w:tr>
      <w:tr>
        <w:trPr>
          <w:trHeight w:val="202"/>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spacing w:after="0"/>
              <w:rPr>
                <w:sz w:val="20"/>
                <w:szCs w:val="20"/>
                <w:color w:val="auto"/>
              </w:rPr>
            </w:pPr>
            <w:r>
              <w:rPr>
                <w:rFonts w:ascii="Arial" w:cs="Arial" w:eastAsia="Arial" w:hAnsi="Arial"/>
                <w:sz w:val="14"/>
                <w:szCs w:val="14"/>
                <w:color w:val="auto"/>
              </w:rPr>
              <w:t>348,269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22"/>
        </w:trPr>
        <w:tc>
          <w:tcPr>
            <w:tcW w:w="82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Dividend equivalents earned</w:t>
            </w:r>
          </w:p>
        </w:tc>
        <w:tc>
          <w:tcPr>
            <w:tcW w:w="15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10,984</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202"/>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500" w:type="dxa"/>
            <w:vAlign w:val="bottom"/>
          </w:tcPr>
          <w:p>
            <w:pPr>
              <w:jc w:val="right"/>
              <w:spacing w:after="0"/>
              <w:rPr>
                <w:sz w:val="20"/>
                <w:szCs w:val="20"/>
                <w:color w:val="auto"/>
              </w:rPr>
            </w:pPr>
            <w:r>
              <w:rPr>
                <w:rFonts w:ascii="Arial" w:cs="Arial" w:eastAsia="Arial" w:hAnsi="Arial"/>
                <w:sz w:val="14"/>
                <w:szCs w:val="14"/>
                <w:color w:val="auto"/>
              </w:rPr>
              <w:t>(1,796)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23.99</w:t>
            </w:r>
          </w:p>
        </w:tc>
        <w:tc>
          <w:tcPr>
            <w:tcW w:w="0" w:type="dxa"/>
            <w:vAlign w:val="bottom"/>
          </w:tcPr>
          <w:p>
            <w:pPr>
              <w:spacing w:after="0"/>
              <w:rPr>
                <w:sz w:val="1"/>
                <w:szCs w:val="1"/>
                <w:color w:val="auto"/>
              </w:rPr>
            </w:pPr>
          </w:p>
        </w:tc>
      </w:tr>
      <w:tr>
        <w:trPr>
          <w:trHeight w:val="213"/>
        </w:trPr>
        <w:tc>
          <w:tcPr>
            <w:tcW w:w="82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(90,812)</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21.85</w:t>
            </w:r>
          </w:p>
        </w:tc>
        <w:tc>
          <w:tcPr>
            <w:tcW w:w="0" w:type="dxa"/>
            <w:vAlign w:val="bottom"/>
          </w:tcPr>
          <w:p>
            <w:pPr>
              <w:spacing w:after="0"/>
              <w:rPr>
                <w:sz w:val="1"/>
                <w:szCs w:val="1"/>
                <w:color w:val="auto"/>
              </w:rPr>
            </w:pPr>
          </w:p>
        </w:tc>
      </w:tr>
      <w:tr>
        <w:trPr>
          <w:trHeight w:val="212"/>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Nonvested at March 31, 2025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1,831,559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PSU Awards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Busey grants PSU awards to members of management periodically throughout the year. PSU awards are stock-based awards for which vesting is conditional upon meeting established performance criteria for the applicable performance period and remaining employed through the end of such performance period. Each PSU represents the future right to receive one share of Busey’s common stock. The number of PSUs that ultimately vest will be determined based on the extent to which the established performance criteria are achieved. Busey’s PSUs are subject to accelerated service-based vesting conditions upon eligible retirement from Busey. After performance determination, dividend equivalents are compounded based upon the updated PSU balances at each dividend date during the performance period.</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March 1, 2025, under the terms of the 2020 Equity Plan, in connection with the CrossFirst acquisition, Busey granted a target of 59,471 Merger PSUs to replace the 2022 TSR PSUs with a maximum award of 95,154 units. The actual number of units issued at the vesting date could range from 0% to 160% of the initial grant, depending on attaining a relative total stockholder return performance goal. The grant date fair value of the award, calculated using the Geometric Brownian Motion Model, is $1.3 million, which will be recognized in compensation expense over the performance period ending December 31, 2026.</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March 26, 2025, under the terms of the 2020 Equity Plan, Busey granted a target of 174,126 PSUs with a maximum award of 278,602 units. The actual number of units issued at the vesting date could range from 0% to 160% of the initial grant, depending on attaining a relative total stockholder return performance goal. The estimated grant date fair value of the award, calculated using the Geometric Brownian Motion Model, is $3.9 million, which will be recognized in compensation expense over the performance period ending December 31, 2027. Busey expects to finalize the grant date fair value of these awards in the second quarter of 2025.</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March 26, 2025, under the terms of the 2020 Equity Plan, Busey granted a target of 174,126 PSUs with a maximum award of 278,602 units. The actual number of units issued at the vesting date could range from 0% to 160% of the initial grant, depending on attaining an adjusted return on average tangible common equity performance goal. The grant date fair value of the award was $ 3.9 million, which will be recognized in compensation expense over the performance period ending December 31, 2027. The actual amount of compensation expense recognized for these awards is subject to adjustment based on the extent to which performance goals are expected to be achieved.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A summary of changes in Busey’s PSU awards for the three months ended March 31, 2025,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ind w:right="216"/>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06"/>
        </w:trPr>
        <w:tc>
          <w:tcPr>
            <w:tcW w:w="8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16"/>
              <w:spacing w:after="0" w:line="106"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06"/>
        </w:trPr>
        <w:tc>
          <w:tcPr>
            <w:tcW w:w="8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PSU Awards</w:t>
            </w:r>
          </w:p>
        </w:tc>
        <w:tc>
          <w:tcPr>
            <w:tcW w:w="80" w:type="dxa"/>
            <w:vAlign w:val="bottom"/>
            <w:vMerge w:val="restart"/>
          </w:tcPr>
          <w:p>
            <w:pPr>
              <w:spacing w:after="0"/>
              <w:rPr>
                <w:sz w:val="9"/>
                <w:szCs w:val="9"/>
                <w:color w:val="auto"/>
              </w:rPr>
            </w:pPr>
          </w:p>
        </w:tc>
        <w:tc>
          <w:tcPr>
            <w:tcW w:w="1500" w:type="dxa"/>
            <w:vAlign w:val="bottom"/>
            <w:vMerge w:val="restart"/>
          </w:tcPr>
          <w:p>
            <w:pPr>
              <w:jc w:val="right"/>
              <w:ind w:right="472"/>
              <w:spacing w:after="0"/>
              <w:rPr>
                <w:sz w:val="20"/>
                <w:szCs w:val="20"/>
                <w:color w:val="auto"/>
              </w:rPr>
            </w:pPr>
            <w:r>
              <w:rPr>
                <w:rFonts w:ascii="Arial" w:cs="Arial" w:eastAsia="Arial" w:hAnsi="Arial"/>
                <w:sz w:val="11"/>
                <w:szCs w:val="11"/>
                <w:b w:val="1"/>
                <w:bCs w:val="1"/>
                <w:color w:val="auto"/>
              </w:rPr>
              <w:t>Shares</w:t>
            </w:r>
            <w:r>
              <w:rPr>
                <w:rFonts w:ascii="Arial" w:cs="Arial" w:eastAsia="Arial" w:hAnsi="Arial"/>
                <w:sz w:val="14"/>
                <w:szCs w:val="14"/>
                <w:b w:val="1"/>
                <w:bCs w:val="1"/>
                <w:color w:val="auto"/>
                <w:vertAlign w:val="superscript"/>
              </w:rPr>
              <w:t>1</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16"/>
              <w:spacing w:after="0" w:line="106" w:lineRule="exact"/>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149"/>
        </w:trPr>
        <w:tc>
          <w:tcPr>
            <w:tcW w:w="81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E0E7ED"/>
            </w:tcBorders>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E0E7ED"/>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216"/>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203"/>
        </w:trPr>
        <w:tc>
          <w:tcPr>
            <w:tcW w:w="822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Nonvested at December 31, 2024</w:t>
            </w:r>
          </w:p>
        </w:tc>
        <w:tc>
          <w:tcPr>
            <w:tcW w:w="15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372,042</w:t>
            </w:r>
          </w:p>
        </w:tc>
        <w:tc>
          <w:tcPr>
            <w:tcW w:w="360" w:type="dxa"/>
            <w:vAlign w:val="bottom"/>
            <w:gridSpan w:val="2"/>
            <w:shd w:val="clear" w:color="auto" w:fill="E0E7ED"/>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212"/>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Modifications based on CrossFirst acquisition</w:t>
            </w:r>
            <w:r>
              <w:rPr>
                <w:rFonts w:ascii="Arial" w:cs="Arial" w:eastAsia="Arial" w:hAnsi="Arial"/>
                <w:sz w:val="18"/>
                <w:szCs w:val="18"/>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4"/>
                <w:szCs w:val="14"/>
                <w:color w:val="auto"/>
              </w:rPr>
              <w:t>(181,828)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212"/>
        </w:trPr>
        <w:tc>
          <w:tcPr>
            <w:tcW w:w="82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407,723</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22.15</w:t>
            </w:r>
          </w:p>
        </w:tc>
        <w:tc>
          <w:tcPr>
            <w:tcW w:w="0" w:type="dxa"/>
            <w:vAlign w:val="bottom"/>
          </w:tcPr>
          <w:p>
            <w:pPr>
              <w:spacing w:after="0"/>
              <w:rPr>
                <w:sz w:val="1"/>
                <w:szCs w:val="1"/>
                <w:color w:val="auto"/>
              </w:rPr>
            </w:pPr>
          </w:p>
        </w:tc>
      </w:tr>
      <w:tr>
        <w:trPr>
          <w:trHeight w:val="203"/>
        </w:trPr>
        <w:tc>
          <w:tcPr>
            <w:tcW w:w="8220" w:type="dxa"/>
            <w:vAlign w:val="bottom"/>
            <w:tcBorders>
              <w:bottom w:val="single" w:sz="8" w:color="E0E7ED"/>
            </w:tcBorders>
            <w:gridSpan w:val="2"/>
          </w:tcPr>
          <w:p>
            <w:pPr>
              <w:ind w:left="14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(21,180)</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E0E7ED"/>
            </w:tcBorders>
          </w:tcPr>
          <w:p>
            <w:pPr>
              <w:spacing w:after="0"/>
              <w:rPr>
                <w:sz w:val="17"/>
                <w:szCs w:val="17"/>
                <w:color w:val="auto"/>
              </w:rPr>
            </w:pPr>
          </w:p>
        </w:tc>
        <w:tc>
          <w:tcPr>
            <w:tcW w:w="1200" w:type="dxa"/>
            <w:vAlign w:val="bottom"/>
            <w:tcBorders>
              <w:bottom w:val="single" w:sz="8" w:color="E0E7ED"/>
            </w:tcBorders>
          </w:tcPr>
          <w:p>
            <w:pPr>
              <w:jc w:val="right"/>
              <w:spacing w:after="0"/>
              <w:rPr>
                <w:sz w:val="20"/>
                <w:szCs w:val="20"/>
                <w:color w:val="auto"/>
              </w:rPr>
            </w:pPr>
            <w:r>
              <w:rPr>
                <w:rFonts w:ascii="Arial" w:cs="Arial" w:eastAsia="Arial" w:hAnsi="Arial"/>
                <w:sz w:val="14"/>
                <w:szCs w:val="14"/>
                <w:color w:val="auto"/>
              </w:rPr>
              <w:t>21.12</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4"/>
                <w:szCs w:val="14"/>
                <w:color w:val="auto"/>
              </w:rPr>
              <w:t>Nonvested at March 31, 2025</w:t>
            </w:r>
          </w:p>
        </w:tc>
        <w:tc>
          <w:tcPr>
            <w:tcW w:w="15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576,757</w:t>
            </w:r>
          </w:p>
        </w:tc>
        <w:tc>
          <w:tcPr>
            <w:tcW w:w="80" w:type="dxa"/>
            <w:vAlign w:val="bottom"/>
            <w:tcBorders>
              <w:bottom w:val="single" w:sz="8" w:color="E0E7ED"/>
            </w:tcBorders>
            <w:shd w:val="clear" w:color="auto" w:fill="E0E7ED"/>
          </w:tcPr>
          <w:p>
            <w:pPr>
              <w:spacing w:after="0"/>
              <w:rPr>
                <w:sz w:val="20"/>
                <w:szCs w:val="20"/>
                <w:color w:val="auto"/>
              </w:rPr>
            </w:pPr>
          </w:p>
        </w:tc>
        <w:tc>
          <w:tcPr>
            <w:tcW w:w="280" w:type="dxa"/>
            <w:vAlign w:val="bottom"/>
            <w:tcBorders>
              <w:bottom w:val="single" w:sz="8" w:color="E0E7ED"/>
            </w:tcBorders>
            <w:shd w:val="clear" w:color="auto" w:fill="E0E7ED"/>
          </w:tcPr>
          <w:p>
            <w:pPr>
              <w:spacing w:after="0"/>
              <w:rPr>
                <w:sz w:val="20"/>
                <w:szCs w:val="20"/>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4"/>
                <w:szCs w:val="14"/>
                <w:color w:val="auto"/>
              </w:rPr>
              <w:t>22.08</w:t>
            </w:r>
          </w:p>
        </w:tc>
        <w:tc>
          <w:tcPr>
            <w:tcW w:w="0" w:type="dxa"/>
            <w:vAlign w:val="bottom"/>
          </w:tcPr>
          <w:p>
            <w:pPr>
              <w:spacing w:after="0"/>
              <w:rPr>
                <w:sz w:val="1"/>
                <w:szCs w:val="1"/>
                <w:color w:val="auto"/>
              </w:rPr>
            </w:pPr>
          </w:p>
        </w:tc>
      </w:tr>
      <w:tr>
        <w:trPr>
          <w:trHeight w:val="20"/>
        </w:trPr>
        <w:tc>
          <w:tcPr>
            <w:tcW w:w="81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tcBorders>
          </w:tcPr>
          <w:p>
            <w:pPr>
              <w:spacing w:after="0" w:line="20" w:lineRule="exact"/>
              <w:rPr>
                <w:sz w:val="1"/>
                <w:szCs w:val="1"/>
                <w:color w:val="auto"/>
              </w:rPr>
            </w:pPr>
          </w:p>
        </w:tc>
        <w:tc>
          <w:tcPr>
            <w:tcW w:w="120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11" w:lineRule="exact"/>
        <w:rPr>
          <w:sz w:val="20"/>
          <w:szCs w:val="20"/>
          <w:color w:val="auto"/>
        </w:rPr>
      </w:pPr>
    </w:p>
    <w:p>
      <w:pPr>
        <w:ind w:left="400" w:hanging="268"/>
        <w:spacing w:after="0"/>
        <w:tabs>
          <w:tab w:leader="none" w:pos="4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Shares for PSU awards represent target shares at the grant date.</w:t>
      </w:r>
    </w:p>
    <w:p>
      <w:pPr>
        <w:spacing w:after="0" w:line="11" w:lineRule="exact"/>
        <w:rPr>
          <w:rFonts w:ascii="Arial" w:cs="Arial" w:eastAsia="Arial" w:hAnsi="Arial"/>
          <w:sz w:val="11"/>
          <w:szCs w:val="11"/>
          <w:color w:val="auto"/>
        </w:rPr>
      </w:pPr>
    </w:p>
    <w:p>
      <w:pPr>
        <w:ind w:left="380" w:hanging="248"/>
        <w:spacing w:after="0"/>
        <w:tabs>
          <w:tab w:leader="none" w:pos="3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Modifications include PSUs that were converted to RSUs as well as balance adjustments related to the 2023 TSR PSUs and the 2024 TSR PSUs.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DSU Awards</w:t>
      </w:r>
    </w:p>
    <w:p>
      <w:pPr>
        <w:spacing w:after="0" w:line="1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Busey grants DSU awards to its non-employee directors. DSU awards are stock-based awards with a deferred settlement date. Each DSU represents the future right to receive one share of Busey’s common stock. DSUs vest over a one-year period following the grant date. Under the 2020 Equity Plan, DSUs are generally subject to the same terms as RSUs, except that following vesting of DSUs, settlement occurs within 30 days following the earlier of separation from the board or a change in control of the Company. After vesting and prior to delivery, DSUs will continue to earn dividend equivalents.</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March 26, 2025, under the terms of the 2020 Equity Plan, Busey granted 39,846 DSUs to non-employee directors. The grant date fair value of the award totaled $0.9 million and will be recognized as compensation expense over the requisite service period of one year. Subsequent to the requisite service period, the awards will become 100% vested.</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A summary of changes in Busey’s DSU awards for the three months ended March 31, 2025,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ind w:right="215"/>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12"/>
        </w:trPr>
        <w:tc>
          <w:tcPr>
            <w:tcW w:w="8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15"/>
              <w:spacing w:after="0" w:line="113"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06"/>
        </w:trPr>
        <w:tc>
          <w:tcPr>
            <w:tcW w:w="8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DSU Awards</w:t>
            </w:r>
          </w:p>
        </w:tc>
        <w:tc>
          <w:tcPr>
            <w:tcW w:w="80" w:type="dxa"/>
            <w:vAlign w:val="bottom"/>
            <w:vMerge w:val="restart"/>
          </w:tcPr>
          <w:p>
            <w:pPr>
              <w:spacing w:after="0"/>
              <w:rPr>
                <w:sz w:val="9"/>
                <w:szCs w:val="9"/>
                <w:color w:val="auto"/>
              </w:rPr>
            </w:pPr>
          </w:p>
        </w:tc>
        <w:tc>
          <w:tcPr>
            <w:tcW w:w="1500" w:type="dxa"/>
            <w:vAlign w:val="bottom"/>
            <w:vMerge w:val="restart"/>
          </w:tcPr>
          <w:p>
            <w:pPr>
              <w:jc w:val="right"/>
              <w:ind w:right="491"/>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15"/>
              <w:spacing w:after="0" w:line="106" w:lineRule="exact"/>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138"/>
        </w:trPr>
        <w:tc>
          <w:tcPr>
            <w:tcW w:w="81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215"/>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203"/>
        </w:trPr>
        <w:tc>
          <w:tcPr>
            <w:tcW w:w="822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Nonvested at December 31, 2024</w:t>
            </w:r>
          </w:p>
        </w:tc>
        <w:tc>
          <w:tcPr>
            <w:tcW w:w="15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36,893</w:t>
            </w:r>
          </w:p>
        </w:tc>
        <w:tc>
          <w:tcPr>
            <w:tcW w:w="360" w:type="dxa"/>
            <w:vAlign w:val="bottom"/>
            <w:gridSpan w:val="2"/>
            <w:shd w:val="clear" w:color="auto" w:fill="E0E7ED"/>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23.40</w:t>
            </w:r>
          </w:p>
        </w:tc>
        <w:tc>
          <w:tcPr>
            <w:tcW w:w="0" w:type="dxa"/>
            <w:vAlign w:val="bottom"/>
          </w:tcPr>
          <w:p>
            <w:pPr>
              <w:spacing w:after="0"/>
              <w:rPr>
                <w:sz w:val="1"/>
                <w:szCs w:val="1"/>
                <w:color w:val="auto"/>
              </w:rPr>
            </w:pPr>
          </w:p>
        </w:tc>
      </w:tr>
      <w:tr>
        <w:trPr>
          <w:trHeight w:val="202"/>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spacing w:after="0"/>
              <w:rPr>
                <w:sz w:val="20"/>
                <w:szCs w:val="20"/>
                <w:color w:val="auto"/>
              </w:rPr>
            </w:pPr>
            <w:r>
              <w:rPr>
                <w:rFonts w:ascii="Arial" w:cs="Arial" w:eastAsia="Arial" w:hAnsi="Arial"/>
                <w:sz w:val="14"/>
                <w:szCs w:val="14"/>
                <w:color w:val="auto"/>
              </w:rPr>
              <w:t>39,846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22"/>
        </w:trPr>
        <w:tc>
          <w:tcPr>
            <w:tcW w:w="82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Dividend equivalents earned</w:t>
            </w:r>
          </w:p>
        </w:tc>
        <w:tc>
          <w:tcPr>
            <w:tcW w:w="15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2,284</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24.28</w:t>
            </w:r>
          </w:p>
        </w:tc>
        <w:tc>
          <w:tcPr>
            <w:tcW w:w="0" w:type="dxa"/>
            <w:vAlign w:val="bottom"/>
          </w:tcPr>
          <w:p>
            <w:pPr>
              <w:spacing w:after="0"/>
              <w:rPr>
                <w:sz w:val="1"/>
                <w:szCs w:val="1"/>
                <w:color w:val="auto"/>
              </w:rPr>
            </w:pPr>
          </w:p>
        </w:tc>
      </w:tr>
      <w:tr>
        <w:trPr>
          <w:trHeight w:val="203"/>
        </w:trPr>
        <w:tc>
          <w:tcPr>
            <w:tcW w:w="8220" w:type="dxa"/>
            <w:vAlign w:val="bottom"/>
            <w:tcBorders>
              <w:bottom w:val="single" w:sz="8" w:color="E0E7ED"/>
            </w:tcBorders>
            <w:gridSpan w:val="2"/>
          </w:tcPr>
          <w:p>
            <w:pPr>
              <w:ind w:left="140"/>
              <w:spacing w:after="0"/>
              <w:rPr>
                <w:sz w:val="20"/>
                <w:szCs w:val="20"/>
                <w:color w:val="auto"/>
              </w:rPr>
            </w:pPr>
            <w:r>
              <w:rPr>
                <w:rFonts w:ascii="Arial" w:cs="Arial" w:eastAsia="Arial" w:hAnsi="Arial"/>
                <w:sz w:val="14"/>
                <w:szCs w:val="14"/>
                <w:color w:val="auto"/>
              </w:rPr>
              <w:t>Vested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(39,177)</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E0E7ED"/>
            </w:tcBorders>
          </w:tcPr>
          <w:p>
            <w:pPr>
              <w:spacing w:after="0"/>
              <w:rPr>
                <w:sz w:val="17"/>
                <w:szCs w:val="17"/>
                <w:color w:val="auto"/>
              </w:rPr>
            </w:pPr>
          </w:p>
        </w:tc>
        <w:tc>
          <w:tcPr>
            <w:tcW w:w="1200" w:type="dxa"/>
            <w:vAlign w:val="bottom"/>
            <w:tcBorders>
              <w:bottom w:val="single" w:sz="8" w:color="E0E7ED"/>
            </w:tcBorders>
          </w:tcPr>
          <w:p>
            <w:pPr>
              <w:jc w:val="right"/>
              <w:spacing w:after="0"/>
              <w:rPr>
                <w:sz w:val="20"/>
                <w:szCs w:val="20"/>
                <w:color w:val="auto"/>
              </w:rPr>
            </w:pPr>
            <w:r>
              <w:rPr>
                <w:rFonts w:ascii="Arial" w:cs="Arial" w:eastAsia="Arial" w:hAnsi="Arial"/>
                <w:sz w:val="14"/>
                <w:szCs w:val="14"/>
                <w:color w:val="auto"/>
              </w:rPr>
              <w:t>23.45</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4"/>
                <w:szCs w:val="14"/>
                <w:color w:val="auto"/>
              </w:rPr>
              <w:t>Nonvested at March 31, 2025</w:t>
            </w:r>
          </w:p>
        </w:tc>
        <w:tc>
          <w:tcPr>
            <w:tcW w:w="15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39,846</w:t>
            </w:r>
          </w:p>
        </w:tc>
        <w:tc>
          <w:tcPr>
            <w:tcW w:w="80" w:type="dxa"/>
            <w:vAlign w:val="bottom"/>
            <w:tcBorders>
              <w:bottom w:val="single" w:sz="8" w:color="E0E7ED"/>
            </w:tcBorders>
            <w:shd w:val="clear" w:color="auto" w:fill="E0E7ED"/>
          </w:tcPr>
          <w:p>
            <w:pPr>
              <w:spacing w:after="0"/>
              <w:rPr>
                <w:sz w:val="20"/>
                <w:szCs w:val="20"/>
                <w:color w:val="auto"/>
              </w:rPr>
            </w:pPr>
          </w:p>
        </w:tc>
        <w:tc>
          <w:tcPr>
            <w:tcW w:w="280" w:type="dxa"/>
            <w:vAlign w:val="bottom"/>
            <w:tcBorders>
              <w:bottom w:val="single" w:sz="8" w:color="E0E7ED"/>
            </w:tcBorders>
            <w:shd w:val="clear" w:color="auto" w:fill="E0E7ED"/>
          </w:tcPr>
          <w:p>
            <w:pPr>
              <w:spacing w:after="0"/>
              <w:rPr>
                <w:sz w:val="20"/>
                <w:szCs w:val="20"/>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0"/>
        </w:trPr>
        <w:tc>
          <w:tcPr>
            <w:tcW w:w="81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tcBorders>
          </w:tcPr>
          <w:p>
            <w:pPr>
              <w:spacing w:after="0" w:line="20" w:lineRule="exact"/>
              <w:rPr>
                <w:sz w:val="1"/>
                <w:szCs w:val="1"/>
                <w:color w:val="auto"/>
              </w:rPr>
            </w:pPr>
          </w:p>
        </w:tc>
        <w:tc>
          <w:tcPr>
            <w:tcW w:w="120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2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Vested and outstanding at March 31, 2025</w:t>
            </w:r>
          </w:p>
        </w:tc>
        <w:tc>
          <w:tcPr>
            <w:tcW w:w="15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141,214</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155" w:lineRule="exact"/>
        <w:rPr>
          <w:sz w:val="20"/>
          <w:szCs w:val="20"/>
          <w:color w:val="auto"/>
        </w:rPr>
      </w:pPr>
    </w:p>
    <w:p>
      <w:pPr>
        <w:jc w:val="both"/>
        <w:spacing w:after="0" w:line="262" w:lineRule="auto"/>
        <w:rPr>
          <w:rFonts w:ascii="Arial" w:cs="Arial" w:eastAsia="Arial" w:hAnsi="Arial"/>
          <w:sz w:val="14"/>
          <w:szCs w:val="14"/>
          <w:color w:val="auto"/>
        </w:rPr>
      </w:pPr>
      <w:r>
        <w:rPr>
          <w:rFonts w:ascii="Arial" w:cs="Arial" w:eastAsia="Arial" w:hAnsi="Arial"/>
          <w:sz w:val="14"/>
          <w:szCs w:val="14"/>
          <w:color w:val="auto"/>
        </w:rPr>
        <w:t xml:space="preserve">The First Busey Corporation ESPP was approved at Busey’s 2021 Annual Meeting of Stockholders. The purpose of the ESPP is to provide a means through which Busey employees may acquire a proprietary interest in the Company by purchasing shares of its common stock at a 15% discount through voluntary payroll deductions, to assist in retaining the services of current employees and securing and retaining the services of new employees, and to provide incentives for Busey employees to exert maximum efforts toward the Company’s success. Substantially all of Busey’s employees are eligible to participate, and all participating employees have equal rights and privileges under the terms of the ESPP. Further details can be found in </w:t>
      </w:r>
      <w:hyperlink r:id="rId68">
        <w:r>
          <w:rPr>
            <w:rFonts w:ascii="Arial" w:cs="Arial" w:eastAsia="Arial" w:hAnsi="Arial"/>
            <w:sz w:val="14"/>
            <w:szCs w:val="14"/>
            <w:u w:val="single" w:color="auto"/>
            <w:color w:val="0000FF"/>
          </w:rPr>
          <w:t>Appendix A</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within </w:t>
      </w:r>
      <w:hyperlink r:id="rId69">
        <w:r>
          <w:rPr>
            <w:rFonts w:ascii="Arial" w:cs="Arial" w:eastAsia="Arial" w:hAnsi="Arial"/>
            <w:sz w:val="14"/>
            <w:szCs w:val="14"/>
            <w:u w:val="single" w:color="auto"/>
            <w:color w:val="0000FF"/>
          </w:rPr>
          <w:t>Busey’s Definitive Proxy Statement filed with the SEC on April 8, 2021</w:t>
        </w:r>
      </w:hyperlink>
      <w:r>
        <w:rPr>
          <w:rFonts w:ascii="Arial" w:cs="Arial" w:eastAsia="Arial" w:hAnsi="Arial"/>
          <w:sz w:val="14"/>
          <w:szCs w:val="14"/>
          <w:color w:val="auto"/>
        </w:rPr>
        <w:t>.</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ESPP initially reserved for issuance and purchase an aggregate of 600,000 shares of Busey’s common stock. The first offering under the ESPP began on July 1, 2021. There were 359,808 shares available for issuance under the ESPP as of March 31, 2025.</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 did not record any stock option compensation expense for the three months ended March 31, 2025, or 2024. Busey did not have any unrecognized stock option compensation expense as of March 31, 2025.</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Busey recognized compensation expense related to non-vested equity awards as summarized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9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490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560" w:type="dxa"/>
            <w:vAlign w:val="bottom"/>
            <w:gridSpan w:val="2"/>
          </w:tcPr>
          <w:p>
            <w:pPr>
              <w:ind w:left="1500"/>
              <w:spacing w:after="0"/>
              <w:rPr>
                <w:sz w:val="20"/>
                <w:szCs w:val="20"/>
                <w:color w:val="auto"/>
              </w:rPr>
            </w:pPr>
            <w:r>
              <w:rPr>
                <w:rFonts w:ascii="Arial" w:cs="Arial" w:eastAsia="Arial" w:hAnsi="Arial"/>
                <w:sz w:val="11"/>
                <w:szCs w:val="11"/>
                <w:b w:val="1"/>
                <w:bCs w:val="1"/>
                <w:color w:val="auto"/>
              </w:rPr>
              <w:t>Location</w:t>
            </w:r>
          </w:p>
        </w:tc>
        <w:tc>
          <w:tcPr>
            <w:tcW w:w="320" w:type="dxa"/>
            <w:vAlign w:val="bottom"/>
          </w:tcPr>
          <w:p>
            <w:pPr>
              <w:spacing w:after="0"/>
              <w:rPr>
                <w:sz w:val="12"/>
                <w:szCs w:val="12"/>
                <w:color w:val="auto"/>
              </w:rPr>
            </w:pPr>
          </w:p>
        </w:tc>
        <w:tc>
          <w:tcPr>
            <w:tcW w:w="1040" w:type="dxa"/>
            <w:vAlign w:val="bottom"/>
          </w:tcPr>
          <w:p>
            <w:pPr>
              <w:jc w:val="right"/>
              <w:ind w:right="47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91"/>
              <w:spacing w:after="0"/>
              <w:rPr>
                <w:sz w:val="20"/>
                <w:szCs w:val="20"/>
                <w:color w:val="auto"/>
              </w:rPr>
            </w:pPr>
            <w:r>
              <w:rPr>
                <w:rFonts w:ascii="Arial" w:cs="Arial" w:eastAsia="Arial" w:hAnsi="Arial"/>
                <w:sz w:val="11"/>
                <w:szCs w:val="11"/>
                <w:b w:val="1"/>
                <w:bCs w:val="1"/>
                <w:color w:val="auto"/>
              </w:rPr>
              <w:t>2024</w:t>
            </w:r>
          </w:p>
        </w:tc>
      </w:tr>
      <w:tr>
        <w:trPr>
          <w:trHeight w:val="192"/>
        </w:trPr>
        <w:tc>
          <w:tcPr>
            <w:tcW w:w="49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Stock-based compensation expense</w:t>
            </w:r>
          </w:p>
        </w:tc>
        <w:tc>
          <w:tcPr>
            <w:tcW w:w="34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20" w:type="dxa"/>
            <w:vAlign w:val="bottom"/>
            <w:tcBorders>
              <w:top w:val="single" w:sz="8" w:color="auto"/>
            </w:tcBorders>
            <w:shd w:val="clear" w:color="auto" w:fill="E0E7ED"/>
          </w:tcPr>
          <w:p>
            <w:pPr>
              <w:spacing w:after="0"/>
              <w:rPr>
                <w:sz w:val="16"/>
                <w:szCs w:val="16"/>
                <w:color w:val="auto"/>
              </w:rPr>
            </w:pPr>
          </w:p>
        </w:tc>
        <w:tc>
          <w:tcPr>
            <w:tcW w:w="104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320" w:type="dxa"/>
            <w:vAlign w:val="bottom"/>
            <w:tcBorders>
              <w:top w:val="single" w:sz="8" w:color="auto"/>
            </w:tcBorders>
            <w:shd w:val="clear" w:color="auto" w:fill="E0E7ED"/>
          </w:tcPr>
          <w:p>
            <w:pPr>
              <w:spacing w:after="0"/>
              <w:rPr>
                <w:sz w:val="16"/>
                <w:szCs w:val="16"/>
                <w:color w:val="auto"/>
              </w:rPr>
            </w:pPr>
          </w:p>
        </w:tc>
        <w:tc>
          <w:tcPr>
            <w:tcW w:w="1040" w:type="dxa"/>
            <w:vAlign w:val="bottom"/>
            <w:tcBorders>
              <w:top w:val="single" w:sz="8" w:color="auto"/>
            </w:tcBorders>
            <w:shd w:val="clear" w:color="auto" w:fill="E0E7ED"/>
          </w:tcPr>
          <w:p>
            <w:pPr>
              <w:spacing w:after="0"/>
              <w:rPr>
                <w:sz w:val="16"/>
                <w:szCs w:val="16"/>
                <w:color w:val="auto"/>
              </w:rPr>
            </w:pPr>
          </w:p>
        </w:tc>
      </w:tr>
      <w:tr>
        <w:trPr>
          <w:trHeight w:val="202"/>
        </w:trPr>
        <w:tc>
          <w:tcPr>
            <w:tcW w:w="4900" w:type="dxa"/>
            <w:vAlign w:val="bottom"/>
          </w:tcPr>
          <w:p>
            <w:pPr>
              <w:ind w:left="140"/>
              <w:spacing w:after="0"/>
              <w:rPr>
                <w:sz w:val="20"/>
                <w:szCs w:val="20"/>
                <w:color w:val="auto"/>
              </w:rPr>
            </w:pPr>
            <w:r>
              <w:rPr>
                <w:rFonts w:ascii="Arial" w:cs="Arial" w:eastAsia="Arial" w:hAnsi="Arial"/>
                <w:sz w:val="14"/>
                <w:szCs w:val="14"/>
                <w:color w:val="auto"/>
              </w:rPr>
              <w:t>SSARs</w:t>
            </w: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Salaries, wages, and employee benefits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49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RSU awards</w:t>
            </w:r>
          </w:p>
        </w:tc>
        <w:tc>
          <w:tcPr>
            <w:tcW w:w="356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Salaries, wages, and employee benefits</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1,989</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894</w:t>
            </w:r>
          </w:p>
        </w:tc>
      </w:tr>
      <w:tr>
        <w:trPr>
          <w:trHeight w:val="212"/>
        </w:trPr>
        <w:tc>
          <w:tcPr>
            <w:tcW w:w="4900" w:type="dxa"/>
            <w:vAlign w:val="bottom"/>
          </w:tcPr>
          <w:p>
            <w:pPr>
              <w:ind w:left="140"/>
              <w:spacing w:after="0"/>
              <w:rPr>
                <w:sz w:val="20"/>
                <w:szCs w:val="20"/>
                <w:color w:val="auto"/>
              </w:rPr>
            </w:pPr>
            <w:r>
              <w:rPr>
                <w:rFonts w:ascii="Arial" w:cs="Arial" w:eastAsia="Arial" w:hAnsi="Arial"/>
                <w:sz w:val="14"/>
                <w:szCs w:val="14"/>
                <w:color w:val="auto"/>
              </w:rPr>
              <w:t>PSU awards</w:t>
            </w:r>
            <w:r>
              <w:rPr>
                <w:rFonts w:ascii="Arial" w:cs="Arial" w:eastAsia="Arial" w:hAnsi="Arial"/>
                <w:sz w:val="18"/>
                <w:szCs w:val="18"/>
                <w:color w:val="auto"/>
                <w:vertAlign w:val="superscript"/>
              </w:rPr>
              <w:t>1</w:t>
            </w: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Salaries, wages, and employee benefits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1,210</w:t>
            </w:r>
          </w:p>
        </w:tc>
      </w:tr>
      <w:tr>
        <w:trPr>
          <w:trHeight w:val="212"/>
        </w:trPr>
        <w:tc>
          <w:tcPr>
            <w:tcW w:w="49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DSU awards</w:t>
            </w:r>
          </w:p>
        </w:tc>
        <w:tc>
          <w:tcPr>
            <w:tcW w:w="356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Other expense</w:t>
            </w: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215</w:t>
            </w:r>
          </w:p>
        </w:tc>
      </w:tr>
      <w:tr>
        <w:trPr>
          <w:trHeight w:val="203"/>
        </w:trPr>
        <w:tc>
          <w:tcPr>
            <w:tcW w:w="490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ESPP</w:t>
            </w:r>
          </w:p>
        </w:tc>
        <w:tc>
          <w:tcPr>
            <w:tcW w:w="3560" w:type="dxa"/>
            <w:vAlign w:val="bottom"/>
            <w:tcBorders>
              <w:bottom w:val="single" w:sz="8" w:color="E0E7ED"/>
            </w:tcBorders>
            <w:gridSpan w:val="2"/>
          </w:tcPr>
          <w:p>
            <w:pPr>
              <w:ind w:left="20"/>
              <w:spacing w:after="0"/>
              <w:rPr>
                <w:sz w:val="20"/>
                <w:szCs w:val="20"/>
                <w:color w:val="auto"/>
              </w:rPr>
            </w:pPr>
            <w:r>
              <w:rPr>
                <w:rFonts w:ascii="Arial" w:cs="Arial" w:eastAsia="Arial" w:hAnsi="Arial"/>
                <w:sz w:val="14"/>
                <w:szCs w:val="14"/>
                <w:color w:val="auto"/>
              </w:rPr>
              <w:t>Salaries, wages, and employee benefits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237"/>
        </w:trPr>
        <w:tc>
          <w:tcPr>
            <w:tcW w:w="49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stock-based compensation expense</w:t>
            </w:r>
          </w:p>
        </w:tc>
        <w:tc>
          <w:tcPr>
            <w:tcW w:w="348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20" w:type="dxa"/>
            <w:vAlign w:val="bottom"/>
            <w:tcBorders>
              <w:bottom w:val="single" w:sz="8" w:color="auto"/>
            </w:tcBorders>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3,394</w:t>
            </w:r>
          </w:p>
        </w:tc>
        <w:tc>
          <w:tcPr>
            <w:tcW w:w="100" w:type="dxa"/>
            <w:vAlign w:val="bottom"/>
            <w:tcBorders>
              <w:bottom w:val="single" w:sz="8" w:color="E0E7ED"/>
            </w:tcBorders>
            <w:shd w:val="clear" w:color="auto" w:fill="E0E7ED"/>
          </w:tcPr>
          <w:p>
            <w:pPr>
              <w:spacing w:after="0"/>
              <w:rPr>
                <w:sz w:val="20"/>
                <w:szCs w:val="20"/>
                <w:color w:val="auto"/>
              </w:rPr>
            </w:pPr>
          </w:p>
        </w:tc>
        <w:tc>
          <w:tcPr>
            <w:tcW w:w="320" w:type="dxa"/>
            <w:vAlign w:val="bottom"/>
            <w:tcBorders>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2,403</w:t>
            </w:r>
          </w:p>
        </w:tc>
      </w:tr>
      <w:tr>
        <w:trPr>
          <w:trHeight w:val="20"/>
        </w:trPr>
        <w:tc>
          <w:tcPr>
            <w:tcW w:w="4900" w:type="dxa"/>
            <w:vAlign w:val="bottom"/>
            <w:tcBorders>
              <w:top w:val="single" w:sz="8" w:color="E0E7ED"/>
            </w:tcBorders>
          </w:tcPr>
          <w:p>
            <w:pPr>
              <w:spacing w:after="0" w:line="20" w:lineRule="exact"/>
              <w:rPr>
                <w:sz w:val="1"/>
                <w:szCs w:val="1"/>
                <w:color w:val="auto"/>
              </w:rPr>
            </w:pPr>
          </w:p>
        </w:tc>
        <w:tc>
          <w:tcPr>
            <w:tcW w:w="34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11" w:lineRule="exact"/>
        <w:rPr>
          <w:sz w:val="20"/>
          <w:szCs w:val="20"/>
          <w:color w:val="auto"/>
        </w:rPr>
      </w:pPr>
    </w:p>
    <w:p>
      <w:pPr>
        <w:ind w:left="380" w:hanging="248"/>
        <w:spacing w:after="0" w:line="284" w:lineRule="auto"/>
        <w:tabs>
          <w:tab w:leader="none" w:pos="4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Expense for PSU awards with a relative total stockholder return performance goal represents amounts based on target shares at the grant date. Expense for PSU awards with return on average tangible common equity and compounded annual revenue growth rate performance goals represents amounts based on target shares at the grant date, adjusted for performance expectations as of the date indicated.</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Unamortized compensation expense related to nonvested RSU, PSU, and DSU awards is summarized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3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tcPr>
          <w:p>
            <w:pPr>
              <w:ind w:left="160"/>
              <w:spacing w:after="0" w:line="112"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right"/>
              <w:ind w:right="252"/>
              <w:spacing w:after="0" w:line="112"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83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203"/>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Unamortized stock-based compensation</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16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60" w:type="dxa"/>
            <w:vAlign w:val="bottom"/>
            <w:gridSpan w:val="2"/>
          </w:tcPr>
          <w:p>
            <w:pPr>
              <w:ind w:left="140"/>
              <w:spacing w:after="0"/>
              <w:rPr>
                <w:sz w:val="20"/>
                <w:szCs w:val="20"/>
                <w:color w:val="auto"/>
              </w:rPr>
            </w:pPr>
            <w:r>
              <w:rPr>
                <w:rFonts w:ascii="Arial" w:cs="Arial" w:eastAsia="Arial" w:hAnsi="Arial"/>
                <w:sz w:val="14"/>
                <w:szCs w:val="14"/>
                <w:color w:val="auto"/>
              </w:rPr>
              <w:t>SSARs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RSU awards</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18,174</w:t>
            </w: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7,093</w:t>
            </w:r>
          </w:p>
        </w:tc>
        <w:tc>
          <w:tcPr>
            <w:tcW w:w="0" w:type="dxa"/>
            <w:vAlign w:val="bottom"/>
          </w:tcPr>
          <w:p>
            <w:pPr>
              <w:spacing w:after="0"/>
              <w:rPr>
                <w:sz w:val="1"/>
                <w:szCs w:val="1"/>
                <w:color w:val="auto"/>
              </w:rPr>
            </w:pPr>
          </w:p>
        </w:tc>
      </w:tr>
      <w:tr>
        <w:trPr>
          <w:trHeight w:val="212"/>
        </w:trPr>
        <w:tc>
          <w:tcPr>
            <w:tcW w:w="8460" w:type="dxa"/>
            <w:vAlign w:val="bottom"/>
            <w:gridSpan w:val="2"/>
          </w:tcPr>
          <w:p>
            <w:pPr>
              <w:ind w:left="140"/>
              <w:spacing w:after="0"/>
              <w:rPr>
                <w:sz w:val="20"/>
                <w:szCs w:val="20"/>
                <w:color w:val="auto"/>
              </w:rPr>
            </w:pPr>
            <w:r>
              <w:rPr>
                <w:rFonts w:ascii="Arial" w:cs="Arial" w:eastAsia="Arial" w:hAnsi="Arial"/>
                <w:sz w:val="14"/>
                <w:szCs w:val="14"/>
                <w:color w:val="auto"/>
              </w:rPr>
              <w:t>PSU awards</w:t>
            </w:r>
            <w:r>
              <w:rPr>
                <w:rFonts w:ascii="Arial" w:cs="Arial" w:eastAsia="Arial" w:hAnsi="Arial"/>
                <w:sz w:val="18"/>
                <w:szCs w:val="18"/>
                <w:color w:val="auto"/>
                <w:vertAlign w:val="superscript"/>
              </w:rPr>
              <w:t>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3,043</w:t>
            </w:r>
          </w:p>
        </w:tc>
        <w:tc>
          <w:tcPr>
            <w:tcW w:w="0" w:type="dxa"/>
            <w:vAlign w:val="bottom"/>
          </w:tcPr>
          <w:p>
            <w:pPr>
              <w:spacing w:after="0"/>
              <w:rPr>
                <w:sz w:val="1"/>
                <w:szCs w:val="1"/>
                <w:color w:val="auto"/>
              </w:rPr>
            </w:pPr>
          </w:p>
        </w:tc>
      </w:tr>
      <w:tr>
        <w:trPr>
          <w:trHeight w:val="203"/>
        </w:trPr>
        <w:tc>
          <w:tcPr>
            <w:tcW w:w="846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DSU awards</w:t>
            </w:r>
          </w:p>
        </w:tc>
        <w:tc>
          <w:tcPr>
            <w:tcW w:w="260" w:type="dxa"/>
            <w:vAlign w:val="bottom"/>
            <w:tcBorders>
              <w:bottom w:val="single" w:sz="8" w:color="auto"/>
            </w:tcBorders>
            <w:shd w:val="clear" w:color="auto" w:fill="E0E7ED"/>
          </w:tcPr>
          <w:p>
            <w:pPr>
              <w:spacing w:after="0"/>
              <w:rPr>
                <w:sz w:val="17"/>
                <w:szCs w:val="17"/>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spacing w:after="0"/>
              <w:rPr>
                <w:sz w:val="17"/>
                <w:szCs w:val="17"/>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12"/>
        </w:trPr>
        <w:tc>
          <w:tcPr>
            <w:tcW w:w="8460" w:type="dxa"/>
            <w:vAlign w:val="bottom"/>
            <w:gridSpan w:val="2"/>
          </w:tcPr>
          <w:p>
            <w:pPr>
              <w:ind w:left="20"/>
              <w:spacing w:after="0"/>
              <w:rPr>
                <w:sz w:val="20"/>
                <w:szCs w:val="20"/>
                <w:color w:val="auto"/>
              </w:rPr>
            </w:pPr>
            <w:r>
              <w:rPr>
                <w:rFonts w:ascii="Arial" w:cs="Arial" w:eastAsia="Arial" w:hAnsi="Arial"/>
                <w:sz w:val="14"/>
                <w:szCs w:val="14"/>
                <w:color w:val="auto"/>
              </w:rPr>
              <w:t>Total unamortized stock-based compensation</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10,317</w:t>
            </w:r>
          </w:p>
        </w:tc>
        <w:tc>
          <w:tcPr>
            <w:tcW w:w="0" w:type="dxa"/>
            <w:vAlign w:val="bottom"/>
          </w:tcPr>
          <w:p>
            <w:pPr>
              <w:spacing w:after="0"/>
              <w:rPr>
                <w:sz w:val="1"/>
                <w:szCs w:val="1"/>
                <w:color w:val="auto"/>
              </w:rPr>
            </w:pPr>
          </w:p>
        </w:tc>
      </w:tr>
      <w:tr>
        <w:trPr>
          <w:trHeight w:val="20"/>
        </w:trPr>
        <w:tc>
          <w:tcPr>
            <w:tcW w:w="83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460" w:type="dxa"/>
            <w:vAlign w:val="bottom"/>
            <w:gridSpan w:val="2"/>
          </w:tcPr>
          <w:p>
            <w:pPr>
              <w:ind w:left="20"/>
              <w:spacing w:after="0"/>
              <w:rPr>
                <w:sz w:val="20"/>
                <w:szCs w:val="20"/>
                <w:color w:val="auto"/>
              </w:rPr>
            </w:pPr>
            <w:r>
              <w:rPr>
                <w:rFonts w:ascii="Arial" w:cs="Arial" w:eastAsia="Arial" w:hAnsi="Arial"/>
                <w:sz w:val="14"/>
                <w:szCs w:val="14"/>
                <w:color w:val="auto"/>
              </w:rPr>
              <w:t>Weighted average period over which expense is to be recognized on Busey awards</w:t>
            </w:r>
          </w:p>
        </w:tc>
        <w:tc>
          <w:tcPr>
            <w:tcW w:w="260" w:type="dxa"/>
            <w:vAlign w:val="bottom"/>
          </w:tcPr>
          <w:p>
            <w:pPr>
              <w:spacing w:after="0"/>
              <w:rPr>
                <w:sz w:val="17"/>
                <w:szCs w:val="17"/>
                <w:color w:val="auto"/>
              </w:rPr>
            </w:pPr>
          </w:p>
        </w:tc>
        <w:tc>
          <w:tcPr>
            <w:tcW w:w="1200" w:type="dxa"/>
            <w:vAlign w:val="bottom"/>
            <w:gridSpan w:val="2"/>
          </w:tcPr>
          <w:p>
            <w:pPr>
              <w:ind w:left="520"/>
              <w:spacing w:after="0"/>
              <w:rPr>
                <w:sz w:val="20"/>
                <w:szCs w:val="20"/>
                <w:color w:val="auto"/>
              </w:rPr>
            </w:pPr>
            <w:r>
              <w:rPr>
                <w:rFonts w:ascii="Arial" w:cs="Arial" w:eastAsia="Arial" w:hAnsi="Arial"/>
                <w:sz w:val="14"/>
                <w:szCs w:val="14"/>
                <w:color w:val="auto"/>
              </w:rPr>
              <w:t>1.8 years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222"/>
        </w:trPr>
        <w:tc>
          <w:tcPr>
            <w:tcW w:w="846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Weighted average period over which expense is to be recognized on CrossFirst replacement awards</w:t>
            </w:r>
          </w:p>
        </w:tc>
        <w:tc>
          <w:tcPr>
            <w:tcW w:w="260" w:type="dxa"/>
            <w:vAlign w:val="bottom"/>
            <w:shd w:val="clear" w:color="auto" w:fill="E0E7ED"/>
          </w:tcPr>
          <w:p>
            <w:pPr>
              <w:spacing w:after="0"/>
              <w:rPr>
                <w:sz w:val="19"/>
                <w:szCs w:val="19"/>
                <w:color w:val="auto"/>
              </w:rPr>
            </w:pPr>
          </w:p>
        </w:tc>
        <w:tc>
          <w:tcPr>
            <w:tcW w:w="1200" w:type="dxa"/>
            <w:vAlign w:val="bottom"/>
            <w:gridSpan w:val="2"/>
            <w:shd w:val="clear" w:color="auto" w:fill="E0E7ED"/>
          </w:tcPr>
          <w:p>
            <w:pPr>
              <w:ind w:left="520"/>
              <w:spacing w:after="0"/>
              <w:rPr>
                <w:sz w:val="20"/>
                <w:szCs w:val="20"/>
                <w:color w:val="auto"/>
              </w:rPr>
            </w:pPr>
            <w:r>
              <w:rPr>
                <w:rFonts w:ascii="Arial" w:cs="Arial" w:eastAsia="Arial" w:hAnsi="Arial"/>
                <w:sz w:val="14"/>
                <w:szCs w:val="14"/>
                <w:color w:val="auto"/>
              </w:rPr>
              <w:t>1.4 years</w:t>
            </w: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jc w:val="both"/>
        <w:ind w:left="380" w:hanging="248"/>
        <w:spacing w:after="0" w:line="270" w:lineRule="auto"/>
        <w:tabs>
          <w:tab w:leader="none" w:pos="4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Unamortized expense for PSU awards with a market-based total stockholder return performance goal represents amounts based on target shares at grant date. Unamortized expense for PSU awards with return on average tangible common equity and compounded annual revenue growth rate performance goals represents amounts based on target shares at grant date, adjusted for performance expectations as of the date indicated.</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OUTSTANDING COMMITMENTS AND CONTINGENT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Commitments and Credit Risk</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contractual amount of Busey’s exposure to off-balance sheet risk relating to the Company’s commitments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20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right"/>
              <w:ind w:right="255"/>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Off-Balance Sheet Commitments</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Commitments to extend credit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4,358,556</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2,512,714</w:t>
            </w:r>
          </w:p>
        </w:tc>
        <w:tc>
          <w:tcPr>
            <w:tcW w:w="0" w:type="dxa"/>
            <w:vAlign w:val="bottom"/>
          </w:tcPr>
          <w:p>
            <w:pPr>
              <w:spacing w:after="0"/>
              <w:rPr>
                <w:sz w:val="1"/>
                <w:szCs w:val="1"/>
                <w:color w:val="auto"/>
              </w:rPr>
            </w:pP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Standby letters of credit</w:t>
            </w: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118,038</w:t>
            </w:r>
          </w:p>
        </w:tc>
        <w:tc>
          <w:tcPr>
            <w:tcW w:w="10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35,464</w:t>
            </w:r>
          </w:p>
        </w:tc>
        <w:tc>
          <w:tcPr>
            <w:tcW w:w="0" w:type="dxa"/>
            <w:vAlign w:val="bottom"/>
          </w:tcPr>
          <w:p>
            <w:pPr>
              <w:spacing w:after="0"/>
              <w:rPr>
                <w:sz w:val="1"/>
                <w:szCs w:val="1"/>
                <w:color w:val="auto"/>
              </w:rPr>
            </w:pP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Total commitments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4,476,594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2,548,178</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Matters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 is a party to legal actions which arise in the normal course of its business activities. Legal and administrative proceedings are subject to inherent uncertainties, and while unfavorable outcomes could occur, Busey does not believe at this time that any potential liabilities relating to pending or potential legal matters are likely to have a material impact on Busey's results of operations or financial position.</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Franchise Tax Matter</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2021, Busey received an inquiry from the Illinois Secretary of State, pursuant to which the Illinois Secretary of State asked for additional information regarding certain of Busey’s franchise tax filings and the calculation of amounts due thereunder. The franchise tax is established by the Illinois Business Corporation Act (“BCA”) 805 ILCS 5/1 et seq., and is a tax imposed on foreign and domestic corporations for the privilege of conducting business in Illinois. Busey has been cooperating with the inquiry and has delivered additional BCA forms requested by the Illinois Secretary of State, with a full reservation of rights by Busey, including seeking judicial relief, if necessary, with respect to any potential dispute regarding Busey’s preparation of the BCA forms and the calculation of the franchise taxes due. Where a loss is believed to be reasonably possible, but not probable, or the loss cannot be reasonably estimated, as is the case with this matter, no accrual is required. It is reasonably possible that this matter could require Busey to pay additional taxes, including potential penalties and interest, or make other expenditures or accrue liabilities in amounts that could not be reasonably estimated as of March 31, 2025. If the likelihood of potential liabilities elevates, requiring an accrual, the potential future liabilities could be material in the period(s) in which they are recorded.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DERIVATIVE FINANCIAL INSTRUMENTS</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risk participation agreements, and foreign currency exchange contracts with customers and other third parties. See “</w:t>
      </w:r>
      <w:r>
        <w:rPr>
          <w:rFonts w:ascii="Arial" w:cs="Arial" w:eastAsia="Arial" w:hAnsi="Arial"/>
          <w:sz w:val="14"/>
          <w:szCs w:val="14"/>
          <w:i w:val="1"/>
          <w:iCs w:val="1"/>
          <w:u w:val="single" w:color="auto"/>
          <w:color w:val="0000FF"/>
        </w:rPr>
        <w:t>Note 13:</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Fair Value Measurements</w:t>
      </w:r>
      <w:r>
        <w:rPr>
          <w:rFonts w:ascii="Arial" w:cs="Arial" w:eastAsia="Arial" w:hAnsi="Arial"/>
          <w:sz w:val="14"/>
          <w:szCs w:val="14"/>
          <w:color w:val="000000"/>
        </w:rPr>
        <w:t>” for further discussion of the fair value measurement of such derivatives.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To secure its obligations under derivative contracts, Busey pledged cash and held collateral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20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right"/>
              <w:ind w:right="256"/>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203"/>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Cash pledged to secure obligations under derivative contracts</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24,404</w:t>
            </w: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21,900</w:t>
            </w:r>
          </w:p>
        </w:tc>
        <w:tc>
          <w:tcPr>
            <w:tcW w:w="0" w:type="dxa"/>
            <w:vAlign w:val="bottom"/>
          </w:tcPr>
          <w:p>
            <w:pPr>
              <w:spacing w:after="0"/>
              <w:rPr>
                <w:sz w:val="1"/>
                <w:szCs w:val="1"/>
                <w:color w:val="auto"/>
              </w:rPr>
            </w:pPr>
          </w:p>
        </w:tc>
      </w:tr>
      <w:tr>
        <w:trPr>
          <w:trHeight w:val="193"/>
        </w:trPr>
        <w:tc>
          <w:tcPr>
            <w:tcW w:w="8460" w:type="dxa"/>
            <w:vAlign w:val="bottom"/>
          </w:tcPr>
          <w:p>
            <w:pPr>
              <w:ind w:left="20"/>
              <w:spacing w:after="0"/>
              <w:rPr>
                <w:sz w:val="20"/>
                <w:szCs w:val="20"/>
                <w:color w:val="auto"/>
              </w:rPr>
            </w:pPr>
            <w:r>
              <w:rPr>
                <w:rFonts w:ascii="Arial" w:cs="Arial" w:eastAsia="Arial" w:hAnsi="Arial"/>
                <w:sz w:val="14"/>
                <w:szCs w:val="14"/>
                <w:color w:val="auto"/>
              </w:rPr>
              <w:t>Collateral held to secure obligations under derivative contracts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19,104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20,260</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 Instruments Designated as Hedges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Rate Swaps Designated as Cash Flow Hedges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Interest rate swaps with notional amounts totaling $500.0 million as of both March 31, 2025, and December 31, 2024, were designated as cash flow hedges. Busey entered into a $300.0 million receive-fixed, pay-floating interest rate swap to reduce Busey’s asset sensitivity (Prime Loan Swap). Duration was added to Busey’s loan portfolio by fixing a portion of floating prime-based loans. Interest rates had risen above their historical lows allowing Busey to lock in a portion of its loan portfolio to reduce asset sensitivity while creating a more stable margin in a volatile rate market. These hedges were determined to be highly effective during the period, and Busey expects its hedges to remain highly effective during the remaining terms of the swaps. Further, Busey entered into forward-starting SOFR-based receive-fixed pay-floating interest rate swaps totaling $200.0 million to reduce Busey’s asset sensitivity (SOFR Loan Swaps). These hedges were determined to be highly effective during the period, and Busey expects its hedges to remain highly effective during the remaining terms of the swaps. Changes in the fair value of these interest rate swaps were recorded net of tax in OCI.</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interest-rate swaps designated as cash flow hedges is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As of</w:t>
            </w: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64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60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Location</w:t>
            </w:r>
          </w:p>
        </w:tc>
        <w:tc>
          <w:tcPr>
            <w:tcW w:w="300" w:type="dxa"/>
            <w:vAlign w:val="bottom"/>
          </w:tcPr>
          <w:p>
            <w:pPr>
              <w:spacing w:after="0"/>
              <w:rPr>
                <w:sz w:val="9"/>
                <w:szCs w:val="9"/>
                <w:color w:val="auto"/>
              </w:rPr>
            </w:pPr>
          </w:p>
        </w:tc>
        <w:tc>
          <w:tcPr>
            <w:tcW w:w="1260" w:type="dxa"/>
            <w:vAlign w:val="bottom"/>
            <w:gridSpan w:val="2"/>
          </w:tcPr>
          <w:p>
            <w:pPr>
              <w:ind w:left="180"/>
              <w:spacing w:after="0" w:line="107" w:lineRule="exact"/>
              <w:rPr>
                <w:sz w:val="20"/>
                <w:szCs w:val="20"/>
                <w:color w:val="auto"/>
              </w:rPr>
            </w:pPr>
            <w:r>
              <w:rPr>
                <w:rFonts w:ascii="Arial" w:cs="Arial" w:eastAsia="Arial" w:hAnsi="Arial"/>
                <w:sz w:val="11"/>
                <w:szCs w:val="11"/>
                <w:b w:val="1"/>
                <w:bCs w:val="1"/>
                <w:color w:val="auto"/>
              </w:rPr>
              <w:t>March 31,</w:t>
            </w:r>
          </w:p>
        </w:tc>
        <w:tc>
          <w:tcPr>
            <w:tcW w:w="240" w:type="dxa"/>
            <w:vAlign w:val="bottom"/>
          </w:tcPr>
          <w:p>
            <w:pPr>
              <w:spacing w:after="0"/>
              <w:rPr>
                <w:sz w:val="9"/>
                <w:szCs w:val="9"/>
                <w:color w:val="auto"/>
              </w:rPr>
            </w:pPr>
          </w:p>
        </w:tc>
        <w:tc>
          <w:tcPr>
            <w:tcW w:w="1240" w:type="dxa"/>
            <w:vAlign w:val="bottom"/>
          </w:tcPr>
          <w:p>
            <w:pPr>
              <w:jc w:val="right"/>
              <w:ind w:right="291"/>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6640" w:type="dxa"/>
            <w:vAlign w:val="bottom"/>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532"/>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531"/>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664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Prime Loan Swap</w:t>
            </w:r>
          </w:p>
        </w:tc>
        <w:tc>
          <w:tcPr>
            <w:tcW w:w="152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00" w:type="dxa"/>
            <w:vAlign w:val="bottom"/>
            <w:tcBorders>
              <w:top w:val="single" w:sz="8" w:color="auto"/>
            </w:tcBorders>
            <w:shd w:val="clear" w:color="auto" w:fill="E0E7ED"/>
          </w:tcPr>
          <w:p>
            <w:pPr>
              <w:spacing w:after="0"/>
              <w:rPr>
                <w:sz w:val="16"/>
                <w:szCs w:val="16"/>
                <w:color w:val="auto"/>
              </w:rPr>
            </w:pPr>
          </w:p>
        </w:tc>
        <w:tc>
          <w:tcPr>
            <w:tcW w:w="11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40" w:type="dxa"/>
            <w:vAlign w:val="bottom"/>
            <w:tcBorders>
              <w:top w:val="single" w:sz="8" w:color="auto"/>
            </w:tcBorders>
            <w:shd w:val="clear" w:color="auto" w:fill="E0E7ED"/>
          </w:tcPr>
          <w:p>
            <w:pPr>
              <w:spacing w:after="0"/>
              <w:rPr>
                <w:sz w:val="16"/>
                <w:szCs w:val="16"/>
                <w:color w:val="auto"/>
              </w:rPr>
            </w:pPr>
          </w:p>
        </w:tc>
        <w:tc>
          <w:tcPr>
            <w:tcW w:w="124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40" w:type="dxa"/>
            <w:vAlign w:val="bottom"/>
          </w:tcPr>
          <w:p>
            <w:pPr>
              <w:ind w:left="140"/>
              <w:spacing w:after="0"/>
              <w:rPr>
                <w:sz w:val="20"/>
                <w:szCs w:val="20"/>
                <w:color w:val="auto"/>
              </w:rPr>
            </w:pPr>
            <w:r>
              <w:rPr>
                <w:rFonts w:ascii="Arial" w:cs="Arial" w:eastAsia="Arial" w:hAnsi="Arial"/>
                <w:sz w:val="14"/>
                <w:szCs w:val="14"/>
                <w:color w:val="auto"/>
              </w:rPr>
              <w:t>Notional amount</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300,000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222"/>
        </w:trPr>
        <w:tc>
          <w:tcPr>
            <w:tcW w:w="66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Weighted average rate: receive-fixed</w:t>
            </w:r>
          </w:p>
        </w:tc>
        <w:tc>
          <w:tcPr>
            <w:tcW w:w="15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4.81 %</w:t>
            </w: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4.81 %</w:t>
            </w:r>
          </w:p>
        </w:tc>
        <w:tc>
          <w:tcPr>
            <w:tcW w:w="0" w:type="dxa"/>
            <w:vAlign w:val="bottom"/>
          </w:tcPr>
          <w:p>
            <w:pPr>
              <w:spacing w:after="0"/>
              <w:rPr>
                <w:sz w:val="1"/>
                <w:szCs w:val="1"/>
                <w:color w:val="auto"/>
              </w:rPr>
            </w:pPr>
          </w:p>
        </w:tc>
      </w:tr>
      <w:tr>
        <w:trPr>
          <w:trHeight w:val="202"/>
        </w:trPr>
        <w:tc>
          <w:tcPr>
            <w:tcW w:w="6640" w:type="dxa"/>
            <w:vAlign w:val="bottom"/>
          </w:tcPr>
          <w:p>
            <w:pPr>
              <w:ind w:left="140"/>
              <w:spacing w:after="0"/>
              <w:rPr>
                <w:sz w:val="20"/>
                <w:szCs w:val="20"/>
                <w:color w:val="auto"/>
              </w:rPr>
            </w:pPr>
            <w:r>
              <w:rPr>
                <w:rFonts w:ascii="Arial" w:cs="Arial" w:eastAsia="Arial" w:hAnsi="Arial"/>
                <w:sz w:val="14"/>
                <w:szCs w:val="14"/>
                <w:color w:val="auto"/>
              </w:rPr>
              <w:t>Weighted average variable Prime pay rates</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7.50 %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7.62 %</w:t>
            </w:r>
          </w:p>
        </w:tc>
        <w:tc>
          <w:tcPr>
            <w:tcW w:w="0" w:type="dxa"/>
            <w:vAlign w:val="bottom"/>
          </w:tcPr>
          <w:p>
            <w:pPr>
              <w:spacing w:after="0"/>
              <w:rPr>
                <w:sz w:val="1"/>
                <w:szCs w:val="1"/>
                <w:color w:val="auto"/>
              </w:rPr>
            </w:pPr>
          </w:p>
        </w:tc>
      </w:tr>
      <w:tr>
        <w:trPr>
          <w:trHeight w:val="222"/>
        </w:trPr>
        <w:tc>
          <w:tcPr>
            <w:tcW w:w="66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Weighted average maturity</w:t>
            </w:r>
          </w:p>
        </w:tc>
        <w:tc>
          <w:tcPr>
            <w:tcW w:w="15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260" w:type="dxa"/>
            <w:vAlign w:val="bottom"/>
            <w:gridSpan w:val="2"/>
            <w:shd w:val="clear" w:color="auto" w:fill="E0E7ED"/>
          </w:tcPr>
          <w:p>
            <w:pPr>
              <w:ind w:left="500"/>
              <w:spacing w:after="0"/>
              <w:rPr>
                <w:sz w:val="20"/>
                <w:szCs w:val="20"/>
                <w:color w:val="auto"/>
              </w:rPr>
            </w:pPr>
            <w:r>
              <w:rPr>
                <w:rFonts w:ascii="Arial" w:cs="Arial" w:eastAsia="Arial" w:hAnsi="Arial"/>
                <w:sz w:val="14"/>
                <w:szCs w:val="14"/>
                <w:color w:val="auto"/>
              </w:rPr>
              <w:t>3.85 years</w:t>
            </w:r>
          </w:p>
        </w:tc>
        <w:tc>
          <w:tcPr>
            <w:tcW w:w="240" w:type="dxa"/>
            <w:vAlign w:val="bottom"/>
            <w:shd w:val="clear" w:color="auto" w:fill="E0E7ED"/>
          </w:tcPr>
          <w:p>
            <w:pPr>
              <w:spacing w:after="0"/>
              <w:rPr>
                <w:sz w:val="19"/>
                <w:szCs w:val="19"/>
                <w:color w:val="auto"/>
              </w:rPr>
            </w:pPr>
          </w:p>
        </w:tc>
        <w:tc>
          <w:tcPr>
            <w:tcW w:w="1240" w:type="dxa"/>
            <w:vAlign w:val="bottom"/>
            <w:shd w:val="clear" w:color="auto" w:fill="E0E7ED"/>
          </w:tcPr>
          <w:p>
            <w:pPr>
              <w:ind w:left="560"/>
              <w:spacing w:after="0"/>
              <w:rPr>
                <w:sz w:val="20"/>
                <w:szCs w:val="20"/>
                <w:color w:val="auto"/>
              </w:rPr>
            </w:pPr>
            <w:r>
              <w:rPr>
                <w:rFonts w:ascii="Arial" w:cs="Arial" w:eastAsia="Arial" w:hAnsi="Arial"/>
                <w:sz w:val="14"/>
                <w:szCs w:val="14"/>
                <w:color w:val="auto"/>
              </w:rPr>
              <w:t>4.10 years</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SOFR Loan Swaps</w:t>
            </w:r>
          </w:p>
        </w:tc>
        <w:tc>
          <w:tcPr>
            <w:tcW w:w="15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tcPr>
          <w:p>
            <w:pPr>
              <w:ind w:left="140"/>
              <w:spacing w:after="0"/>
              <w:rPr>
                <w:sz w:val="20"/>
                <w:szCs w:val="20"/>
                <w:color w:val="auto"/>
              </w:rPr>
            </w:pPr>
            <w:r>
              <w:rPr>
                <w:rFonts w:ascii="Arial" w:cs="Arial" w:eastAsia="Arial" w:hAnsi="Arial"/>
                <w:sz w:val="14"/>
                <w:szCs w:val="14"/>
                <w:color w:val="auto"/>
              </w:rPr>
              <w:t>Notional amount</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200,000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222"/>
        </w:trPr>
        <w:tc>
          <w:tcPr>
            <w:tcW w:w="66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Weighted average rate: receive-fixed</w:t>
            </w:r>
          </w:p>
        </w:tc>
        <w:tc>
          <w:tcPr>
            <w:tcW w:w="15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3.78 %</w:t>
            </w: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3.78 %</w:t>
            </w:r>
          </w:p>
        </w:tc>
        <w:tc>
          <w:tcPr>
            <w:tcW w:w="0" w:type="dxa"/>
            <w:vAlign w:val="bottom"/>
          </w:tcPr>
          <w:p>
            <w:pPr>
              <w:spacing w:after="0"/>
              <w:rPr>
                <w:sz w:val="1"/>
                <w:szCs w:val="1"/>
                <w:color w:val="auto"/>
              </w:rPr>
            </w:pPr>
          </w:p>
        </w:tc>
      </w:tr>
      <w:tr>
        <w:trPr>
          <w:trHeight w:val="202"/>
        </w:trPr>
        <w:tc>
          <w:tcPr>
            <w:tcW w:w="6640" w:type="dxa"/>
            <w:vAlign w:val="bottom"/>
          </w:tcPr>
          <w:p>
            <w:pPr>
              <w:ind w:left="140"/>
              <w:spacing w:after="0"/>
              <w:rPr>
                <w:sz w:val="20"/>
                <w:szCs w:val="20"/>
                <w:color w:val="auto"/>
              </w:rPr>
            </w:pPr>
            <w:r>
              <w:rPr>
                <w:rFonts w:ascii="Arial" w:cs="Arial" w:eastAsia="Arial" w:hAnsi="Arial"/>
                <w:sz w:val="14"/>
                <w:szCs w:val="14"/>
                <w:color w:val="auto"/>
              </w:rPr>
              <w:t>Weighted average variable 1-month CME Term SOFR pay rates</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4.47 %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66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Weighted average maturity</w:t>
            </w:r>
          </w:p>
        </w:tc>
        <w:tc>
          <w:tcPr>
            <w:tcW w:w="15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260" w:type="dxa"/>
            <w:vAlign w:val="bottom"/>
            <w:gridSpan w:val="2"/>
            <w:shd w:val="clear" w:color="auto" w:fill="E0E7ED"/>
          </w:tcPr>
          <w:p>
            <w:pPr>
              <w:ind w:left="500"/>
              <w:spacing w:after="0"/>
              <w:rPr>
                <w:sz w:val="20"/>
                <w:szCs w:val="20"/>
                <w:color w:val="auto"/>
              </w:rPr>
            </w:pPr>
            <w:r>
              <w:rPr>
                <w:rFonts w:ascii="Arial" w:cs="Arial" w:eastAsia="Arial" w:hAnsi="Arial"/>
                <w:sz w:val="14"/>
                <w:szCs w:val="14"/>
                <w:color w:val="auto"/>
              </w:rPr>
              <w:t>4.52 years</w:t>
            </w:r>
          </w:p>
        </w:tc>
        <w:tc>
          <w:tcPr>
            <w:tcW w:w="240" w:type="dxa"/>
            <w:vAlign w:val="bottom"/>
            <w:shd w:val="clear" w:color="auto" w:fill="E0E7ED"/>
          </w:tcPr>
          <w:p>
            <w:pPr>
              <w:spacing w:after="0"/>
              <w:rPr>
                <w:sz w:val="19"/>
                <w:szCs w:val="19"/>
                <w:color w:val="auto"/>
              </w:rPr>
            </w:pPr>
          </w:p>
        </w:tc>
        <w:tc>
          <w:tcPr>
            <w:tcW w:w="1240" w:type="dxa"/>
            <w:vAlign w:val="bottom"/>
            <w:shd w:val="clear" w:color="auto" w:fill="E0E7ED"/>
          </w:tcPr>
          <w:p>
            <w:pPr>
              <w:ind w:left="560"/>
              <w:spacing w:after="0"/>
              <w:rPr>
                <w:sz w:val="20"/>
                <w:szCs w:val="20"/>
                <w:color w:val="auto"/>
              </w:rPr>
            </w:pPr>
            <w:r>
              <w:rPr>
                <w:rFonts w:ascii="Arial" w:cs="Arial" w:eastAsia="Arial" w:hAnsi="Arial"/>
                <w:sz w:val="14"/>
                <w:szCs w:val="14"/>
                <w:color w:val="auto"/>
              </w:rPr>
              <w:t>4.76 years</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Gross aggregate fair value of the swaps</w:t>
            </w:r>
          </w:p>
        </w:tc>
        <w:tc>
          <w:tcPr>
            <w:tcW w:w="15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tcPr>
          <w:p>
            <w:pPr>
              <w:ind w:left="140"/>
              <w:spacing w:after="0"/>
              <w:rPr>
                <w:sz w:val="20"/>
                <w:szCs w:val="20"/>
                <w:color w:val="auto"/>
              </w:rPr>
            </w:pPr>
            <w:r>
              <w:rPr>
                <w:rFonts w:ascii="Arial" w:cs="Arial" w:eastAsia="Arial" w:hAnsi="Arial"/>
                <w:sz w:val="14"/>
                <w:szCs w:val="14"/>
                <w:color w:val="auto"/>
              </w:rPr>
              <w:t>Gross aggregate fair value of swap assets</w:t>
            </w:r>
          </w:p>
        </w:tc>
        <w:tc>
          <w:tcPr>
            <w:tcW w:w="160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1,480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66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Gross aggregate fair value of swap liabilities</w:t>
            </w:r>
          </w:p>
        </w:tc>
        <w:tc>
          <w:tcPr>
            <w:tcW w:w="160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Other liabilities</w:t>
            </w:r>
          </w:p>
        </w:tc>
        <w:tc>
          <w:tcPr>
            <w:tcW w:w="300" w:type="dxa"/>
            <w:vAlign w:val="bottom"/>
            <w:shd w:val="clear" w:color="auto" w:fill="E0E7ED"/>
          </w:tcPr>
          <w:p>
            <w:pPr>
              <w:spacing w:after="0"/>
              <w:rPr>
                <w:sz w:val="19"/>
                <w:szCs w:val="19"/>
                <w:color w:val="auto"/>
              </w:rPr>
            </w:pPr>
          </w:p>
        </w:tc>
        <w:tc>
          <w:tcPr>
            <w:tcW w:w="1180" w:type="dxa"/>
            <w:vAlign w:val="bottom"/>
            <w:shd w:val="clear" w:color="auto" w:fill="E0E7ED"/>
          </w:tcPr>
          <w:p>
            <w:pPr>
              <w:jc w:val="right"/>
              <w:ind w:right="112"/>
              <w:spacing w:after="0"/>
              <w:rPr>
                <w:sz w:val="20"/>
                <w:szCs w:val="20"/>
                <w:color w:val="auto"/>
              </w:rPr>
            </w:pPr>
            <w:r>
              <w:rPr>
                <w:rFonts w:ascii="Arial" w:cs="Arial" w:eastAsia="Arial" w:hAnsi="Arial"/>
                <w:sz w:val="14"/>
                <w:szCs w:val="14"/>
                <w:color w:val="auto"/>
              </w:rPr>
              <w:t>21,106</w:t>
            </w: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4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27,770</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Balances carried in AOCI</w:t>
            </w:r>
          </w:p>
        </w:tc>
        <w:tc>
          <w:tcPr>
            <w:tcW w:w="15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640" w:type="dxa"/>
            <w:vAlign w:val="bottom"/>
          </w:tcPr>
          <w:p>
            <w:pPr>
              <w:ind w:left="140"/>
              <w:spacing w:after="0"/>
              <w:rPr>
                <w:sz w:val="20"/>
                <w:szCs w:val="20"/>
                <w:color w:val="auto"/>
              </w:rPr>
            </w:pPr>
            <w:r>
              <w:rPr>
                <w:rFonts w:ascii="Arial" w:cs="Arial" w:eastAsia="Arial" w:hAnsi="Arial"/>
                <w:sz w:val="14"/>
                <w:szCs w:val="14"/>
                <w:color w:val="auto"/>
              </w:rPr>
              <w:t>Unrealized gains (losses) on cash flow hedges, net of tax</w:t>
            </w:r>
          </w:p>
        </w:tc>
        <w:tc>
          <w:tcPr>
            <w:tcW w:w="1600" w:type="dxa"/>
            <w:vAlign w:val="bottom"/>
            <w:gridSpan w:val="2"/>
          </w:tcPr>
          <w:p>
            <w:pPr>
              <w:ind w:left="20"/>
              <w:spacing w:after="0"/>
              <w:rPr>
                <w:sz w:val="20"/>
                <w:szCs w:val="20"/>
                <w:color w:val="auto"/>
              </w:rPr>
            </w:pPr>
            <w:r>
              <w:rPr>
                <w:rFonts w:ascii="Arial" w:cs="Arial" w:eastAsia="Arial" w:hAnsi="Arial"/>
                <w:sz w:val="14"/>
                <w:szCs w:val="14"/>
                <w:color w:val="auto"/>
              </w:rPr>
              <w:t>AOCI</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tcPr>
          <w:p>
            <w:pPr>
              <w:ind w:left="500"/>
              <w:spacing w:after="0"/>
              <w:rPr>
                <w:sz w:val="20"/>
                <w:szCs w:val="20"/>
                <w:color w:val="auto"/>
              </w:rPr>
            </w:pPr>
            <w:r>
              <w:rPr>
                <w:rFonts w:ascii="Arial" w:cs="Arial" w:eastAsia="Arial" w:hAnsi="Arial"/>
                <w:sz w:val="14"/>
                <w:szCs w:val="14"/>
                <w:color w:val="auto"/>
              </w:rPr>
              <w:t>(13,659)</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Pr>
          <w:p>
            <w:pPr>
              <w:ind w:left="560"/>
              <w:spacing w:after="0"/>
              <w:rPr>
                <w:sz w:val="20"/>
                <w:szCs w:val="20"/>
                <w:color w:val="auto"/>
              </w:rPr>
            </w:pPr>
            <w:r>
              <w:rPr>
                <w:rFonts w:ascii="Arial" w:cs="Arial" w:eastAsia="Arial" w:hAnsi="Arial"/>
                <w:sz w:val="14"/>
                <w:szCs w:val="14"/>
                <w:color w:val="auto"/>
              </w:rPr>
              <w:t>(19,805)</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next 12 months, Busey expects to reclassify unrealized gains and losses from OCI to interest income and interest expense as shown in the following table. Amounts actually recognized could differ from these expectations due to changes in interest rates, hedge de-designations, and the addition of other hedges subsequent to March 31, 2025.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ind w:right="155"/>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vMerge w:val="continue"/>
          </w:tcPr>
          <w:p>
            <w:pPr>
              <w:spacing w:after="0"/>
              <w:rPr>
                <w:sz w:val="11"/>
                <w:szCs w:val="11"/>
                <w:color w:val="auto"/>
              </w:rPr>
            </w:pPr>
          </w:p>
        </w:tc>
        <w:tc>
          <w:tcPr>
            <w:tcW w:w="320" w:type="dxa"/>
            <w:vAlign w:val="bottom"/>
            <w:tcBorders>
              <w:bottom w:val="single" w:sz="8" w:color="E0E7ED"/>
            </w:tcBorders>
          </w:tcPr>
          <w:p>
            <w:pPr>
              <w:spacing w:after="0"/>
              <w:rPr>
                <w:sz w:val="11"/>
                <w:szCs w:val="11"/>
                <w:color w:val="auto"/>
              </w:rPr>
            </w:pPr>
          </w:p>
        </w:tc>
        <w:tc>
          <w:tcPr>
            <w:tcW w:w="1040" w:type="dxa"/>
            <w:vAlign w:val="bottom"/>
            <w:tcBorders>
              <w:bottom w:val="single" w:sz="8" w:color="E0E7ED"/>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115"/>
              <w:spacing w:after="0"/>
              <w:rPr>
                <w:sz w:val="20"/>
                <w:szCs w:val="20"/>
                <w:color w:val="auto"/>
              </w:rPr>
            </w:pPr>
            <w:r>
              <w:rPr>
                <w:rFonts w:ascii="Arial" w:cs="Arial" w:eastAsia="Arial" w:hAnsi="Arial"/>
                <w:sz w:val="11"/>
                <w:szCs w:val="11"/>
                <w:b w:val="1"/>
                <w:bCs w:val="1"/>
                <w:color w:val="auto"/>
              </w:rPr>
              <w:t>March 31, 2025</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Unrealized losses expected to be reclassified from OCI to interest income</w:t>
            </w:r>
          </w:p>
        </w:tc>
        <w:tc>
          <w:tcPr>
            <w:tcW w:w="320" w:type="dxa"/>
            <w:vAlign w:val="bottom"/>
            <w:tcBorders>
              <w:bottom w:val="single" w:sz="8" w:color="E0E7ED"/>
            </w:tcBorders>
            <w:shd w:val="clear" w:color="auto" w:fill="E0E7ED"/>
          </w:tcPr>
          <w:p>
            <w:pPr>
              <w:spacing w:after="0"/>
              <w:rPr>
                <w:sz w:val="19"/>
                <w:szCs w:val="19"/>
                <w:color w:val="auto"/>
              </w:rPr>
            </w:pPr>
          </w:p>
        </w:tc>
        <w:tc>
          <w:tcPr>
            <w:tcW w:w="1040" w:type="dxa"/>
            <w:vAlign w:val="bottom"/>
            <w:tcBorders>
              <w:bottom w:val="single" w:sz="8" w:color="E0E7ED"/>
            </w:tcBorders>
            <w:shd w:val="clear" w:color="auto" w:fill="E0E7ED"/>
          </w:tcPr>
          <w:p>
            <w:pPr>
              <w:spacing w:after="0"/>
              <w:rPr>
                <w:sz w:val="19"/>
                <w:szCs w:val="19"/>
                <w:color w:val="auto"/>
              </w:rPr>
            </w:pPr>
          </w:p>
        </w:tc>
        <w:tc>
          <w:tcPr>
            <w:tcW w:w="100" w:type="dxa"/>
            <w:vAlign w:val="bottom"/>
            <w:tcBorders>
              <w:bottom w:val="single" w:sz="8" w:color="E0E7ED"/>
            </w:tcBorders>
            <w:shd w:val="clear" w:color="auto" w:fill="E0E7ED"/>
          </w:tcPr>
          <w:p>
            <w:pPr>
              <w:spacing w:after="0"/>
              <w:rPr>
                <w:sz w:val="19"/>
                <w:szCs w:val="19"/>
                <w:color w:val="auto"/>
              </w:rPr>
            </w:pPr>
          </w:p>
        </w:tc>
        <w:tc>
          <w:tcPr>
            <w:tcW w:w="180" w:type="dxa"/>
            <w:vAlign w:val="bottom"/>
            <w:tcBorders>
              <w:bottom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20"/>
        </w:trPr>
        <w:tc>
          <w:tcPr>
            <w:tcW w:w="8460" w:type="dxa"/>
            <w:vAlign w:val="bottom"/>
            <w:tcBorders>
              <w:top w:val="single" w:sz="8" w:color="E0E7ED"/>
              <w:bottom w:val="single" w:sz="8" w:color="E0E7ED"/>
            </w:tcBorders>
            <w:vMerge w:val="restart"/>
          </w:tcPr>
          <w:p>
            <w:pPr>
              <w:spacing w:after="0"/>
              <w:rPr>
                <w:sz w:val="20"/>
                <w:szCs w:val="20"/>
                <w:color w:val="auto"/>
              </w:rPr>
            </w:pPr>
            <w:r>
              <w:rPr>
                <w:rFonts w:ascii="Arial" w:cs="Arial" w:eastAsia="Arial" w:hAnsi="Arial"/>
                <w:sz w:val="14"/>
                <w:szCs w:val="14"/>
                <w:color w:val="auto"/>
              </w:rPr>
              <w:t>Interest income and interest expense recorded on these swap transactions is presented in the following table:</w:t>
            </w:r>
          </w:p>
        </w:tc>
        <w:tc>
          <w:tcPr>
            <w:tcW w:w="320" w:type="dxa"/>
            <w:vAlign w:val="bottom"/>
            <w:tcBorders>
              <w:top w:val="single" w:sz="8" w:color="E0E7ED"/>
            </w:tcBorders>
          </w:tcPr>
          <w:p>
            <w:pPr>
              <w:spacing w:after="0" w:line="20" w:lineRule="exact"/>
              <w:rPr>
                <w:sz w:val="1"/>
                <w:szCs w:val="1"/>
                <w:color w:val="auto"/>
              </w:rPr>
            </w:pPr>
          </w:p>
        </w:tc>
        <w:tc>
          <w:tcPr>
            <w:tcW w:w="10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1"/>
                <w:szCs w:val="11"/>
                <w:b w:val="1"/>
                <w:bCs w:val="1"/>
                <w:color w:val="auto"/>
              </w:rPr>
              <w:t>Three Months Ended March 31,</w:t>
            </w:r>
          </w:p>
        </w:tc>
        <w:tc>
          <w:tcPr>
            <w:tcW w:w="0" w:type="dxa"/>
            <w:vAlign w:val="bottom"/>
          </w:tcPr>
          <w:p>
            <w:pPr>
              <w:spacing w:after="0"/>
              <w:rPr>
                <w:sz w:val="1"/>
                <w:szCs w:val="1"/>
                <w:color w:val="auto"/>
              </w:rPr>
            </w:pP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15"/>
              <w:spacing w:after="0"/>
              <w:rPr>
                <w:sz w:val="20"/>
                <w:szCs w:val="20"/>
                <w:color w:val="auto"/>
              </w:rPr>
            </w:pPr>
            <w:r>
              <w:rPr>
                <w:rFonts w:ascii="Arial" w:cs="Arial" w:eastAsia="Arial" w:hAnsi="Arial"/>
                <w:sz w:val="11"/>
                <w:szCs w:val="11"/>
                <w:b w:val="1"/>
                <w:bCs w:val="1"/>
                <w:color w:val="auto"/>
                <w:w w:val="97"/>
              </w:rPr>
              <w:t>2024</w:t>
            </w:r>
          </w:p>
        </w:tc>
        <w:tc>
          <w:tcPr>
            <w:tcW w:w="0" w:type="dxa"/>
            <w:vAlign w:val="bottom"/>
          </w:tcPr>
          <w:p>
            <w:pPr>
              <w:spacing w:after="0"/>
              <w:rPr>
                <w:sz w:val="1"/>
                <w:szCs w:val="1"/>
                <w:color w:val="auto"/>
              </w:rPr>
            </w:pP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Interest on swap transactions</w:t>
            </w: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Increase (decrease) in interest income on swap transactions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(2,796)</w:t>
            </w:r>
          </w:p>
        </w:tc>
        <w:tc>
          <w:tcPr>
            <w:tcW w:w="0" w:type="dxa"/>
            <w:vAlign w:val="bottom"/>
          </w:tcPr>
          <w:p>
            <w:pPr>
              <w:spacing w:after="0"/>
              <w:rPr>
                <w:sz w:val="1"/>
                <w:szCs w:val="1"/>
                <w:color w:val="auto"/>
              </w:rPr>
            </w:pP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(Increase) decrease in interest expense on swap transactions</w:t>
            </w:r>
          </w:p>
        </w:tc>
        <w:tc>
          <w:tcPr>
            <w:tcW w:w="320" w:type="dxa"/>
            <w:vAlign w:val="bottom"/>
            <w:shd w:val="clear" w:color="auto" w:fill="E0E7ED"/>
          </w:tcPr>
          <w:p>
            <w:pPr>
              <w:spacing w:after="0"/>
              <w:rPr>
                <w:sz w:val="18"/>
                <w:szCs w:val="18"/>
                <w:color w:val="auto"/>
              </w:rPr>
            </w:pPr>
          </w:p>
        </w:tc>
        <w:tc>
          <w:tcPr>
            <w:tcW w:w="1140" w:type="dxa"/>
            <w:vAlign w:val="bottom"/>
            <w:gridSpan w:val="2"/>
            <w:shd w:val="clear" w:color="auto" w:fill="E0E7ED"/>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Net increase (decrease) in net interest income on swap transactions</w:t>
            </w: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(2,313)</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Net gains (losses) relating to cash flow derivative instruments that were recorded in OCI on the </w:t>
      </w:r>
      <w:r>
        <w:rPr>
          <w:rFonts w:ascii="Arial" w:cs="Arial" w:eastAsia="Arial" w:hAnsi="Arial"/>
          <w:sz w:val="14"/>
          <w:szCs w:val="14"/>
          <w:u w:val="single" w:color="auto"/>
          <w:color w:val="0000FF"/>
        </w:rPr>
        <w:t>Consolidated Statements of Income (Unaudited)</w:t>
      </w:r>
      <w:r>
        <w:rPr>
          <w:rFonts w:ascii="Arial" w:cs="Arial" w:eastAsia="Arial" w:hAnsi="Arial"/>
          <w:sz w:val="14"/>
          <w:szCs w:val="14"/>
          <w:color w:val="auto"/>
        </w:rPr>
        <w:t xml:space="preserve"> are presented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2024</w:t>
            </w: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Unrealized gains (losses) on cash flow hedges</w:t>
            </w: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Net gain (loss) recognized in OCI, net of tax</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4,641</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(5,232)</w:t>
            </w: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(Gain) loss reclassified from OCI to interest income, net of tax</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1,508</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1,999</w:t>
            </w:r>
          </w:p>
        </w:tc>
      </w:tr>
      <w:tr>
        <w:trPr>
          <w:trHeight w:val="203"/>
        </w:trPr>
        <w:tc>
          <w:tcPr>
            <w:tcW w:w="8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(Gain) loss reclassified from OCI to interest expense, net of tax</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r>
      <w:tr>
        <w:trPr>
          <w:trHeight w:val="237"/>
        </w:trPr>
        <w:tc>
          <w:tcPr>
            <w:tcW w:w="8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Net change in unrealized gains (losses) on cash flow hedges, net of tax</w:t>
            </w:r>
          </w:p>
        </w:tc>
        <w:tc>
          <w:tcPr>
            <w:tcW w:w="320" w:type="dxa"/>
            <w:vAlign w:val="bottom"/>
            <w:tcBorders>
              <w:bottom w:val="single" w:sz="8" w:color="auto"/>
            </w:tcBorders>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6,146</w:t>
            </w:r>
          </w:p>
        </w:tc>
        <w:tc>
          <w:tcPr>
            <w:tcW w:w="100" w:type="dxa"/>
            <w:vAlign w:val="bottom"/>
            <w:tcBorders>
              <w:bottom w:val="single" w:sz="8" w:color="E0E7ED"/>
            </w:tcBorders>
            <w:shd w:val="clear" w:color="auto" w:fill="E0E7ED"/>
          </w:tcPr>
          <w:p>
            <w:pPr>
              <w:spacing w:after="0"/>
              <w:rPr>
                <w:sz w:val="20"/>
                <w:szCs w:val="20"/>
                <w:color w:val="auto"/>
              </w:rPr>
            </w:pPr>
          </w:p>
        </w:tc>
        <w:tc>
          <w:tcPr>
            <w:tcW w:w="320" w:type="dxa"/>
            <w:vAlign w:val="bottom"/>
            <w:tcBorders>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(3,578)</w:t>
            </w:r>
          </w:p>
        </w:tc>
      </w:tr>
      <w:tr>
        <w:trPr>
          <w:trHeight w:val="20"/>
        </w:trPr>
        <w:tc>
          <w:tcPr>
            <w:tcW w:w="846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 Instruments Not Designated as Hedges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Rate Swaps Not Designated as Hedges</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Busey may offer derivative contracts to its customers in connection with their risk management needs. Busey manages the risk associated with these contracts by entering into equal and offsetting derivative agreements with third-party dealers. These contracts supported variable rate, commercial loan relationships totaling $928.5 million as of March 31, 2025, and $719.2 million as of December 31, 2024. These derivatives generally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Amounts and fair values of derivative assets and derivative liabilities related to customer interest rate swaps recorded on the </w:t>
      </w:r>
      <w:r>
        <w:rPr>
          <w:rFonts w:ascii="Arial" w:cs="Arial" w:eastAsia="Arial" w:hAnsi="Arial"/>
          <w:sz w:val="14"/>
          <w:szCs w:val="14"/>
          <w:u w:val="single" w:color="auto"/>
          <w:color w:val="0000FF"/>
        </w:rPr>
        <w:t>Consolidated Balance Sheets (Unaudited)</w:t>
      </w:r>
      <w:r>
        <w:rPr>
          <w:rFonts w:ascii="Arial" w:cs="Arial" w:eastAsia="Arial" w:hAnsi="Arial"/>
          <w:sz w:val="14"/>
          <w:szCs w:val="14"/>
          <w:color w:val="auto"/>
        </w:rPr>
        <w:t xml:space="preserve">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March 31, 2025</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1"/>
                <w:szCs w:val="11"/>
                <w:b w:val="1"/>
                <w:bCs w:val="1"/>
                <w:color w:val="auto"/>
              </w:rPr>
              <w:t>As of December 31, 2024</w:t>
            </w:r>
          </w:p>
        </w:tc>
        <w:tc>
          <w:tcPr>
            <w:tcW w:w="0" w:type="dxa"/>
            <w:vAlign w:val="bottom"/>
          </w:tcPr>
          <w:p>
            <w:pPr>
              <w:spacing w:after="0"/>
              <w:rPr>
                <w:sz w:val="1"/>
                <w:szCs w:val="1"/>
                <w:color w:val="auto"/>
              </w:rPr>
            </w:pPr>
          </w:p>
        </w:tc>
      </w:tr>
      <w:tr>
        <w:trPr>
          <w:trHeight w:val="107"/>
        </w:trPr>
        <w:tc>
          <w:tcPr>
            <w:tcW w:w="39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680" w:type="dxa"/>
            <w:vAlign w:val="bottom"/>
            <w:gridSpan w:val="2"/>
            <w:vMerge w:val="restart"/>
          </w:tcPr>
          <w:p>
            <w:pPr>
              <w:ind w:left="560"/>
              <w:spacing w:after="0"/>
              <w:rPr>
                <w:sz w:val="20"/>
                <w:szCs w:val="20"/>
                <w:color w:val="auto"/>
              </w:rPr>
            </w:pPr>
            <w:r>
              <w:rPr>
                <w:rFonts w:ascii="Arial" w:cs="Arial" w:eastAsia="Arial" w:hAnsi="Arial"/>
                <w:sz w:val="11"/>
                <w:szCs w:val="11"/>
                <w:b w:val="1"/>
                <w:bCs w:val="1"/>
                <w:color w:val="auto"/>
              </w:rPr>
              <w:t>Location</w:t>
            </w:r>
          </w:p>
        </w:tc>
        <w:tc>
          <w:tcPr>
            <w:tcW w:w="260" w:type="dxa"/>
            <w:vAlign w:val="bottom"/>
          </w:tcPr>
          <w:p>
            <w:pPr>
              <w:spacing w:after="0"/>
              <w:rPr>
                <w:sz w:val="9"/>
                <w:szCs w:val="9"/>
                <w:color w:val="auto"/>
              </w:rPr>
            </w:pPr>
          </w:p>
        </w:tc>
        <w:tc>
          <w:tcPr>
            <w:tcW w:w="1180" w:type="dxa"/>
            <w:vAlign w:val="bottom"/>
            <w:gridSpan w:val="2"/>
          </w:tcPr>
          <w:p>
            <w:pPr>
              <w:ind w:left="180"/>
              <w:spacing w:after="0" w:line="107" w:lineRule="exact"/>
              <w:rPr>
                <w:sz w:val="20"/>
                <w:szCs w:val="20"/>
                <w:color w:val="auto"/>
              </w:rPr>
            </w:pPr>
            <w:r>
              <w:rPr>
                <w:rFonts w:ascii="Arial" w:cs="Arial" w:eastAsia="Arial" w:hAnsi="Arial"/>
                <w:sz w:val="11"/>
                <w:szCs w:val="11"/>
                <w:b w:val="1"/>
                <w:bCs w:val="1"/>
                <w:color w:val="auto"/>
              </w:rPr>
              <w:t>Notional</w:t>
            </w:r>
          </w:p>
        </w:tc>
        <w:tc>
          <w:tcPr>
            <w:tcW w:w="520" w:type="dxa"/>
            <w:vAlign w:val="bottom"/>
          </w:tcPr>
          <w:p>
            <w:pPr>
              <w:spacing w:after="0"/>
              <w:rPr>
                <w:sz w:val="9"/>
                <w:szCs w:val="9"/>
                <w:color w:val="auto"/>
              </w:rPr>
            </w:pPr>
          </w:p>
        </w:tc>
        <w:tc>
          <w:tcPr>
            <w:tcW w:w="920" w:type="dxa"/>
            <w:vAlign w:val="bottom"/>
            <w:gridSpan w:val="2"/>
          </w:tcPr>
          <w:p>
            <w:pPr>
              <w:jc w:val="center"/>
              <w:ind w:right="600"/>
              <w:spacing w:after="0" w:line="107" w:lineRule="exact"/>
              <w:rPr>
                <w:sz w:val="20"/>
                <w:szCs w:val="20"/>
                <w:color w:val="auto"/>
              </w:rPr>
            </w:pPr>
            <w:r>
              <w:rPr>
                <w:rFonts w:ascii="Arial" w:cs="Arial" w:eastAsia="Arial" w:hAnsi="Arial"/>
                <w:sz w:val="11"/>
                <w:szCs w:val="11"/>
                <w:b w:val="1"/>
                <w:bCs w:val="1"/>
                <w:color w:val="auto"/>
                <w:w w:val="98"/>
              </w:rPr>
              <w:t>Fair</w:t>
            </w:r>
          </w:p>
        </w:tc>
        <w:tc>
          <w:tcPr>
            <w:tcW w:w="280" w:type="dxa"/>
            <w:vAlign w:val="bottom"/>
          </w:tcPr>
          <w:p>
            <w:pPr>
              <w:spacing w:after="0"/>
              <w:rPr>
                <w:sz w:val="9"/>
                <w:szCs w:val="9"/>
                <w:color w:val="auto"/>
              </w:rPr>
            </w:pPr>
          </w:p>
        </w:tc>
        <w:tc>
          <w:tcPr>
            <w:tcW w:w="1180" w:type="dxa"/>
            <w:vAlign w:val="bottom"/>
            <w:gridSpan w:val="2"/>
          </w:tcPr>
          <w:p>
            <w:pPr>
              <w:ind w:left="180"/>
              <w:spacing w:after="0" w:line="107" w:lineRule="exact"/>
              <w:rPr>
                <w:sz w:val="20"/>
                <w:szCs w:val="20"/>
                <w:color w:val="auto"/>
              </w:rPr>
            </w:pPr>
            <w:r>
              <w:rPr>
                <w:rFonts w:ascii="Arial" w:cs="Arial" w:eastAsia="Arial" w:hAnsi="Arial"/>
                <w:sz w:val="11"/>
                <w:szCs w:val="11"/>
                <w:b w:val="1"/>
                <w:bCs w:val="1"/>
                <w:color w:val="auto"/>
              </w:rPr>
              <w:t>Notional</w:t>
            </w:r>
          </w:p>
        </w:tc>
        <w:tc>
          <w:tcPr>
            <w:tcW w:w="300" w:type="dxa"/>
            <w:vAlign w:val="bottom"/>
          </w:tcPr>
          <w:p>
            <w:pPr>
              <w:spacing w:after="0"/>
              <w:rPr>
                <w:sz w:val="9"/>
                <w:szCs w:val="9"/>
                <w:color w:val="auto"/>
              </w:rPr>
            </w:pPr>
          </w:p>
        </w:tc>
        <w:tc>
          <w:tcPr>
            <w:tcW w:w="1060" w:type="dxa"/>
            <w:vAlign w:val="bottom"/>
          </w:tcPr>
          <w:p>
            <w:pPr>
              <w:jc w:val="right"/>
              <w:ind w:right="513"/>
              <w:spacing w:after="0" w:line="107" w:lineRule="exact"/>
              <w:rPr>
                <w:sz w:val="20"/>
                <w:szCs w:val="20"/>
                <w:color w:val="auto"/>
              </w:rPr>
            </w:pPr>
            <w:r>
              <w:rPr>
                <w:rFonts w:ascii="Arial" w:cs="Arial" w:eastAsia="Arial" w:hAnsi="Arial"/>
                <w:sz w:val="11"/>
                <w:szCs w:val="11"/>
                <w:b w:val="1"/>
                <w:bCs w:val="1"/>
                <w:color w:val="auto"/>
              </w:rPr>
              <w:t>Fair</w:t>
            </w:r>
          </w:p>
        </w:tc>
        <w:tc>
          <w:tcPr>
            <w:tcW w:w="0" w:type="dxa"/>
            <w:vAlign w:val="bottom"/>
          </w:tcPr>
          <w:p>
            <w:pPr>
              <w:spacing w:after="0"/>
              <w:rPr>
                <w:sz w:val="1"/>
                <w:szCs w:val="1"/>
                <w:color w:val="auto"/>
              </w:rPr>
            </w:pPr>
          </w:p>
        </w:tc>
      </w:tr>
      <w:tr>
        <w:trPr>
          <w:trHeight w:val="138"/>
        </w:trPr>
        <w:tc>
          <w:tcPr>
            <w:tcW w:w="390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spacing w:after="0"/>
              <w:rPr>
                <w:sz w:val="11"/>
                <w:szCs w:val="11"/>
                <w:color w:val="auto"/>
              </w:rPr>
            </w:pPr>
          </w:p>
        </w:tc>
        <w:tc>
          <w:tcPr>
            <w:tcW w:w="92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rPr>
              <w:t>Value</w:t>
            </w:r>
          </w:p>
        </w:tc>
        <w:tc>
          <w:tcPr>
            <w:tcW w:w="280" w:type="dxa"/>
            <w:vAlign w:val="bottom"/>
          </w:tcPr>
          <w:p>
            <w:pPr>
              <w:spacing w:after="0"/>
              <w:rPr>
                <w:sz w:val="11"/>
                <w:szCs w:val="11"/>
                <w:color w:val="auto"/>
              </w:rPr>
            </w:pPr>
          </w:p>
        </w:tc>
        <w:tc>
          <w:tcPr>
            <w:tcW w:w="118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1060" w:type="dxa"/>
            <w:vAlign w:val="bottom"/>
          </w:tcPr>
          <w:p>
            <w:pPr>
              <w:jc w:val="right"/>
              <w:ind w:right="473"/>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56"/>
        </w:trPr>
        <w:tc>
          <w:tcPr>
            <w:tcW w:w="3900" w:type="dxa"/>
            <w:vAlign w:val="bottom"/>
            <w:tcBorders>
              <w:top w:val="single" w:sz="8" w:color="E0E7ED"/>
            </w:tcBorders>
            <w:shd w:val="clear" w:color="auto" w:fill="E0E7ED"/>
          </w:tcPr>
          <w:p>
            <w:pPr>
              <w:ind w:left="20"/>
              <w:spacing w:after="0" w:line="157" w:lineRule="exact"/>
              <w:rPr>
                <w:sz w:val="20"/>
                <w:szCs w:val="20"/>
                <w:color w:val="auto"/>
              </w:rPr>
            </w:pPr>
            <w:r>
              <w:rPr>
                <w:rFonts w:ascii="Arial" w:cs="Arial" w:eastAsia="Arial" w:hAnsi="Arial"/>
                <w:sz w:val="14"/>
                <w:szCs w:val="14"/>
                <w:b w:val="1"/>
                <w:bCs w:val="1"/>
                <w:color w:val="auto"/>
              </w:rPr>
              <w:t>Derivative assets not designated as hedging</w:t>
            </w:r>
          </w:p>
        </w:tc>
        <w:tc>
          <w:tcPr>
            <w:tcW w:w="160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260" w:type="dxa"/>
            <w:vAlign w:val="bottom"/>
            <w:tcBorders>
              <w:top w:val="single" w:sz="8" w:color="auto"/>
            </w:tcBorders>
            <w:shd w:val="clear" w:color="auto" w:fill="E0E7ED"/>
          </w:tcPr>
          <w:p>
            <w:pPr>
              <w:spacing w:after="0"/>
              <w:rPr>
                <w:sz w:val="13"/>
                <w:szCs w:val="13"/>
                <w:color w:val="auto"/>
              </w:rPr>
            </w:pPr>
          </w:p>
        </w:tc>
        <w:tc>
          <w:tcPr>
            <w:tcW w:w="110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520" w:type="dxa"/>
            <w:vAlign w:val="bottom"/>
            <w:tcBorders>
              <w:top w:val="single" w:sz="8" w:color="auto"/>
            </w:tcBorders>
            <w:shd w:val="clear" w:color="auto" w:fill="E0E7ED"/>
          </w:tcPr>
          <w:p>
            <w:pPr>
              <w:spacing w:after="0"/>
              <w:rPr>
                <w:sz w:val="13"/>
                <w:szCs w:val="13"/>
                <w:color w:val="auto"/>
              </w:rPr>
            </w:pPr>
          </w:p>
        </w:tc>
        <w:tc>
          <w:tcPr>
            <w:tcW w:w="84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280" w:type="dxa"/>
            <w:vAlign w:val="bottom"/>
            <w:tcBorders>
              <w:top w:val="single" w:sz="8" w:color="auto"/>
            </w:tcBorders>
            <w:shd w:val="clear" w:color="auto" w:fill="E0E7ED"/>
          </w:tcPr>
          <w:p>
            <w:pPr>
              <w:spacing w:after="0"/>
              <w:rPr>
                <w:sz w:val="13"/>
                <w:szCs w:val="13"/>
                <w:color w:val="auto"/>
              </w:rPr>
            </w:pPr>
          </w:p>
        </w:tc>
        <w:tc>
          <w:tcPr>
            <w:tcW w:w="108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300" w:type="dxa"/>
            <w:vAlign w:val="bottom"/>
            <w:tcBorders>
              <w:top w:val="single" w:sz="8" w:color="auto"/>
            </w:tcBorders>
            <w:shd w:val="clear" w:color="auto" w:fill="E0E7ED"/>
          </w:tcPr>
          <w:p>
            <w:pPr>
              <w:spacing w:after="0"/>
              <w:rPr>
                <w:sz w:val="13"/>
                <w:szCs w:val="13"/>
                <w:color w:val="auto"/>
              </w:rPr>
            </w:pPr>
          </w:p>
        </w:tc>
        <w:tc>
          <w:tcPr>
            <w:tcW w:w="1060" w:type="dxa"/>
            <w:vAlign w:val="bottom"/>
            <w:tcBorders>
              <w:top w:val="single" w:sz="8" w:color="auto"/>
            </w:tcBorders>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9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instruments</w:t>
            </w:r>
          </w:p>
        </w:tc>
        <w:tc>
          <w:tcPr>
            <w:tcW w:w="16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520" w:type="dxa"/>
            <w:vAlign w:val="bottom"/>
            <w:shd w:val="clear" w:color="auto" w:fill="E0E7ED"/>
          </w:tcPr>
          <w:p>
            <w:pPr>
              <w:spacing w:after="0"/>
              <w:rPr>
                <w:sz w:val="17"/>
                <w:szCs w:val="17"/>
                <w:color w:val="auto"/>
              </w:rPr>
            </w:pPr>
          </w:p>
        </w:tc>
        <w:tc>
          <w:tcPr>
            <w:tcW w:w="8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80" w:type="dxa"/>
            <w:vAlign w:val="bottom"/>
            <w:shd w:val="clear" w:color="auto" w:fill="E0E7ED"/>
          </w:tcPr>
          <w:p>
            <w:pPr>
              <w:spacing w:after="0"/>
              <w:rPr>
                <w:sz w:val="17"/>
                <w:szCs w:val="17"/>
                <w:color w:val="auto"/>
              </w:rPr>
            </w:pPr>
          </w:p>
        </w:tc>
        <w:tc>
          <w:tcPr>
            <w:tcW w:w="10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00" w:type="dxa"/>
            <w:vAlign w:val="bottom"/>
            <w:shd w:val="clear" w:color="auto" w:fill="E0E7ED"/>
          </w:tcPr>
          <w:p>
            <w:pPr>
              <w:spacing w:after="0"/>
              <w:rPr>
                <w:sz w:val="17"/>
                <w:szCs w:val="17"/>
                <w:color w:val="auto"/>
              </w:rPr>
            </w:pPr>
          </w:p>
        </w:tc>
        <w:tc>
          <w:tcPr>
            <w:tcW w:w="106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140"/>
              <w:spacing w:after="0"/>
              <w:rPr>
                <w:sz w:val="20"/>
                <w:szCs w:val="20"/>
                <w:color w:val="auto"/>
              </w:rPr>
            </w:pPr>
            <w:r>
              <w:rPr>
                <w:rFonts w:ascii="Arial" w:cs="Arial" w:eastAsia="Arial" w:hAnsi="Arial"/>
                <w:sz w:val="14"/>
                <w:szCs w:val="14"/>
                <w:color w:val="auto"/>
              </w:rPr>
              <w:t>Interest rate swaps: receive-fixed, pay-floating</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330,406</w:t>
            </w:r>
          </w:p>
        </w:tc>
        <w:tc>
          <w:tcPr>
            <w:tcW w:w="80" w:type="dxa"/>
            <w:vAlign w:val="bottom"/>
          </w:tcPr>
          <w:p>
            <w:pPr>
              <w:spacing w:after="0"/>
              <w:rPr>
                <w:sz w:val="17"/>
                <w:szCs w:val="17"/>
                <w:color w:val="auto"/>
              </w:rPr>
            </w:pP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6,327</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156,539</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13"/>
        </w:trPr>
        <w:tc>
          <w:tcPr>
            <w:tcW w:w="39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Interest rate swaps: receive-floating, pay-fixed</w:t>
            </w:r>
          </w:p>
        </w:tc>
        <w:tc>
          <w:tcPr>
            <w:tcW w:w="168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598,075</w:t>
            </w:r>
          </w:p>
        </w:tc>
        <w:tc>
          <w:tcPr>
            <w:tcW w:w="80" w:type="dxa"/>
            <w:vAlign w:val="bottom"/>
            <w:shd w:val="clear" w:color="auto" w:fill="E0E7ED"/>
          </w:tcPr>
          <w:p>
            <w:pPr>
              <w:spacing w:after="0"/>
              <w:rPr>
                <w:sz w:val="18"/>
                <w:szCs w:val="18"/>
                <w:color w:val="auto"/>
              </w:rPr>
            </w:pPr>
          </w:p>
        </w:tc>
        <w:tc>
          <w:tcPr>
            <w:tcW w:w="520" w:type="dxa"/>
            <w:vAlign w:val="bottom"/>
            <w:tcBorders>
              <w:bottom w:val="single" w:sz="8" w:color="auto"/>
            </w:tcBorders>
            <w:shd w:val="clear" w:color="auto" w:fill="E0E7ED"/>
          </w:tcPr>
          <w:p>
            <w:pPr>
              <w:spacing w:after="0"/>
              <w:rPr>
                <w:sz w:val="18"/>
                <w:szCs w:val="18"/>
                <w:color w:val="auto"/>
              </w:rPr>
            </w:pPr>
          </w:p>
        </w:tc>
        <w:tc>
          <w:tcPr>
            <w:tcW w:w="8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27,061</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562,697</w:t>
            </w:r>
          </w:p>
        </w:tc>
        <w:tc>
          <w:tcPr>
            <w:tcW w:w="10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28,854</w:t>
            </w:r>
          </w:p>
        </w:tc>
        <w:tc>
          <w:tcPr>
            <w:tcW w:w="0" w:type="dxa"/>
            <w:vAlign w:val="bottom"/>
          </w:tcPr>
          <w:p>
            <w:pPr>
              <w:spacing w:after="0"/>
              <w:rPr>
                <w:sz w:val="1"/>
                <w:szCs w:val="1"/>
                <w:color w:val="auto"/>
              </w:rPr>
            </w:pPr>
          </w:p>
        </w:tc>
      </w:tr>
      <w:tr>
        <w:trPr>
          <w:trHeight w:val="212"/>
        </w:trPr>
        <w:tc>
          <w:tcPr>
            <w:tcW w:w="3900" w:type="dxa"/>
            <w:vAlign w:val="bottom"/>
          </w:tcPr>
          <w:p>
            <w:pPr>
              <w:ind w:left="20"/>
              <w:spacing w:after="0"/>
              <w:rPr>
                <w:sz w:val="20"/>
                <w:szCs w:val="20"/>
                <w:color w:val="auto"/>
              </w:rPr>
            </w:pPr>
            <w:r>
              <w:rPr>
                <w:rFonts w:ascii="Arial" w:cs="Arial" w:eastAsia="Arial" w:hAnsi="Arial"/>
                <w:sz w:val="14"/>
                <w:szCs w:val="14"/>
                <w:color w:val="auto"/>
              </w:rPr>
              <w:t>Derivative assets not designated as hedging instruments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928,481</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33,388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719,236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30,319</w:t>
            </w:r>
          </w:p>
        </w:tc>
        <w:tc>
          <w:tcPr>
            <w:tcW w:w="0" w:type="dxa"/>
            <w:vAlign w:val="bottom"/>
          </w:tcPr>
          <w:p>
            <w:pPr>
              <w:spacing w:after="0"/>
              <w:rPr>
                <w:sz w:val="1"/>
                <w:szCs w:val="1"/>
                <w:color w:val="auto"/>
              </w:rPr>
            </w:pPr>
          </w:p>
        </w:tc>
      </w:tr>
      <w:tr>
        <w:trPr>
          <w:trHeight w:val="20"/>
        </w:trPr>
        <w:tc>
          <w:tcPr>
            <w:tcW w:w="3900" w:type="dxa"/>
            <w:vAlign w:val="bottom"/>
            <w:tcBorders>
              <w:bottom w:val="single" w:sz="8" w:color="E0E7ED"/>
            </w:tcBorders>
          </w:tcPr>
          <w:p>
            <w:pPr>
              <w:spacing w:after="0" w:line="20" w:lineRule="exact"/>
              <w:rPr>
                <w:sz w:val="1"/>
                <w:szCs w:val="1"/>
                <w:color w:val="auto"/>
              </w:rPr>
            </w:pPr>
          </w:p>
        </w:tc>
        <w:tc>
          <w:tcPr>
            <w:tcW w:w="160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00" w:type="dxa"/>
            <w:vAlign w:val="bottom"/>
            <w:shd w:val="clear" w:color="auto" w:fill="E0E7ED"/>
          </w:tcPr>
          <w:p>
            <w:pPr>
              <w:spacing w:after="0"/>
              <w:rPr>
                <w:sz w:val="15"/>
                <w:szCs w:val="15"/>
                <w:color w:val="auto"/>
              </w:rPr>
            </w:pPr>
          </w:p>
        </w:tc>
        <w:tc>
          <w:tcPr>
            <w:tcW w:w="16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520" w:type="dxa"/>
            <w:vAlign w:val="bottom"/>
            <w:shd w:val="clear" w:color="auto" w:fill="E0E7ED"/>
          </w:tcPr>
          <w:p>
            <w:pPr>
              <w:spacing w:after="0"/>
              <w:rPr>
                <w:sz w:val="15"/>
                <w:szCs w:val="15"/>
                <w:color w:val="auto"/>
              </w:rPr>
            </w:pPr>
          </w:p>
        </w:tc>
        <w:tc>
          <w:tcPr>
            <w:tcW w:w="8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80" w:type="dxa"/>
            <w:vAlign w:val="bottom"/>
            <w:shd w:val="clear" w:color="auto" w:fill="E0E7ED"/>
          </w:tcPr>
          <w:p>
            <w:pPr>
              <w:spacing w:after="0"/>
              <w:rPr>
                <w:sz w:val="15"/>
                <w:szCs w:val="15"/>
                <w:color w:val="auto"/>
              </w:rPr>
            </w:pPr>
          </w:p>
        </w:tc>
        <w:tc>
          <w:tcPr>
            <w:tcW w:w="10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Derivative liabilities not designated as hedging</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instruments</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Interest rate swaps: receive-fixed, pay-floating</w:t>
            </w:r>
          </w:p>
        </w:tc>
        <w:tc>
          <w:tcPr>
            <w:tcW w:w="168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Other liabilities</w:t>
            </w: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598,075</w:t>
            </w:r>
          </w:p>
        </w:tc>
        <w:tc>
          <w:tcPr>
            <w:tcW w:w="80" w:type="dxa"/>
            <w:vAlign w:val="bottom"/>
            <w:shd w:val="clear" w:color="auto" w:fill="E0E7ED"/>
          </w:tcPr>
          <w:p>
            <w:pPr>
              <w:spacing w:after="0"/>
              <w:rPr>
                <w:sz w:val="18"/>
                <w:szCs w:val="18"/>
                <w:color w:val="auto"/>
              </w:rPr>
            </w:pPr>
          </w:p>
        </w:tc>
        <w:tc>
          <w:tcPr>
            <w:tcW w:w="520" w:type="dxa"/>
            <w:vAlign w:val="bottom"/>
            <w:shd w:val="clear" w:color="auto" w:fill="E0E7ED"/>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27,061</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562,697</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28,854</w:t>
            </w:r>
          </w:p>
        </w:tc>
        <w:tc>
          <w:tcPr>
            <w:tcW w:w="0" w:type="dxa"/>
            <w:vAlign w:val="bottom"/>
          </w:tcPr>
          <w:p>
            <w:pPr>
              <w:spacing w:after="0"/>
              <w:rPr>
                <w:sz w:val="1"/>
                <w:szCs w:val="1"/>
                <w:color w:val="auto"/>
              </w:rPr>
            </w:pPr>
          </w:p>
        </w:tc>
      </w:tr>
      <w:tr>
        <w:trPr>
          <w:trHeight w:val="203"/>
        </w:trPr>
        <w:tc>
          <w:tcPr>
            <w:tcW w:w="390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Interest rate swaps: receive-floating, pay-fixed</w:t>
            </w:r>
          </w:p>
        </w:tc>
        <w:tc>
          <w:tcPr>
            <w:tcW w:w="1680" w:type="dxa"/>
            <w:vAlign w:val="bottom"/>
            <w:tcBorders>
              <w:bottom w:val="single" w:sz="8" w:color="E0E7ED"/>
            </w:tcBorders>
            <w:gridSpan w:val="2"/>
          </w:tcPr>
          <w:p>
            <w:pPr>
              <w:ind w:left="2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330,406</w:t>
            </w:r>
          </w:p>
        </w:tc>
        <w:tc>
          <w:tcPr>
            <w:tcW w:w="80" w:type="dxa"/>
            <w:vAlign w:val="bottom"/>
            <w:tcBorders>
              <w:bottom w:val="single" w:sz="8" w:color="E0E7ED"/>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6,327</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156,539</w:t>
            </w:r>
          </w:p>
        </w:tc>
        <w:tc>
          <w:tcPr>
            <w:tcW w:w="10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Derivative liabilities not designated as hedging instruments</w:t>
            </w:r>
          </w:p>
        </w:tc>
        <w:tc>
          <w:tcPr>
            <w:tcW w:w="160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60" w:type="dxa"/>
            <w:vAlign w:val="bottom"/>
            <w:tcBorders>
              <w:bottom w:val="single" w:sz="8" w:color="auto"/>
            </w:tcBorders>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928,481</w:t>
            </w:r>
          </w:p>
        </w:tc>
        <w:tc>
          <w:tcPr>
            <w:tcW w:w="80" w:type="dxa"/>
            <w:vAlign w:val="bottom"/>
            <w:tcBorders>
              <w:bottom w:val="single" w:sz="8" w:color="E0E7ED"/>
            </w:tcBorders>
            <w:shd w:val="clear" w:color="auto" w:fill="E0E7ED"/>
          </w:tcPr>
          <w:p>
            <w:pPr>
              <w:spacing w:after="0"/>
              <w:rPr>
                <w:sz w:val="20"/>
                <w:szCs w:val="20"/>
                <w:color w:val="auto"/>
              </w:rPr>
            </w:pPr>
          </w:p>
        </w:tc>
        <w:tc>
          <w:tcPr>
            <w:tcW w:w="520" w:type="dxa"/>
            <w:vAlign w:val="bottom"/>
            <w:tcBorders>
              <w:bottom w:val="single" w:sz="8" w:color="auto"/>
            </w:tcBorders>
            <w:shd w:val="clear" w:color="auto" w:fill="E0E7ED"/>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33,388</w:t>
            </w:r>
          </w:p>
        </w:tc>
        <w:tc>
          <w:tcPr>
            <w:tcW w:w="80" w:type="dxa"/>
            <w:vAlign w:val="bottom"/>
            <w:tcBorders>
              <w:bottom w:val="single" w:sz="8" w:color="E0E7ED"/>
            </w:tcBorders>
            <w:shd w:val="clear" w:color="auto" w:fill="E0E7ED"/>
          </w:tcPr>
          <w:p>
            <w:pPr>
              <w:spacing w:after="0"/>
              <w:rPr>
                <w:sz w:val="20"/>
                <w:szCs w:val="20"/>
                <w:color w:val="auto"/>
              </w:rPr>
            </w:pPr>
          </w:p>
        </w:tc>
        <w:tc>
          <w:tcPr>
            <w:tcW w:w="280" w:type="dxa"/>
            <w:vAlign w:val="bottom"/>
            <w:tcBorders>
              <w:bottom w:val="single" w:sz="8" w:color="auto"/>
            </w:tcBorders>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719,236</w:t>
            </w:r>
          </w:p>
        </w:tc>
        <w:tc>
          <w:tcPr>
            <w:tcW w:w="100" w:type="dxa"/>
            <w:vAlign w:val="bottom"/>
            <w:tcBorders>
              <w:bottom w:val="single" w:sz="8" w:color="E0E7ED"/>
            </w:tcBorders>
            <w:shd w:val="clear" w:color="auto" w:fill="E0E7ED"/>
          </w:tcPr>
          <w:p>
            <w:pPr>
              <w:spacing w:after="0"/>
              <w:rPr>
                <w:sz w:val="20"/>
                <w:szCs w:val="20"/>
                <w:color w:val="auto"/>
              </w:rPr>
            </w:pPr>
          </w:p>
        </w:tc>
        <w:tc>
          <w:tcPr>
            <w:tcW w:w="300" w:type="dxa"/>
            <w:vAlign w:val="bottom"/>
            <w:tcBorders>
              <w:bottom w:val="single" w:sz="8" w:color="auto"/>
            </w:tcBorders>
            <w:shd w:val="clear" w:color="auto" w:fill="E0E7ED"/>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30,319</w:t>
            </w:r>
          </w:p>
        </w:tc>
        <w:tc>
          <w:tcPr>
            <w:tcW w:w="0" w:type="dxa"/>
            <w:vAlign w:val="bottom"/>
          </w:tcPr>
          <w:p>
            <w:pPr>
              <w:spacing w:after="0"/>
              <w:rPr>
                <w:sz w:val="1"/>
                <w:szCs w:val="1"/>
                <w:color w:val="auto"/>
              </w:rPr>
            </w:pPr>
          </w:p>
        </w:tc>
      </w:tr>
      <w:tr>
        <w:trPr>
          <w:trHeight w:val="20"/>
        </w:trPr>
        <w:tc>
          <w:tcPr>
            <w:tcW w:w="390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520" w:type="dxa"/>
            <w:vAlign w:val="bottom"/>
            <w:tcBorders>
              <w:top w:val="single" w:sz="8" w:color="E0E7ED"/>
              <w:bottom w:val="single" w:sz="8" w:color="auto"/>
            </w:tcBorders>
          </w:tcPr>
          <w:p>
            <w:pPr>
              <w:spacing w:after="0" w:line="20" w:lineRule="exact"/>
              <w:rPr>
                <w:sz w:val="1"/>
                <w:szCs w:val="1"/>
                <w:color w:val="auto"/>
              </w:rPr>
            </w:pPr>
          </w:p>
        </w:tc>
        <w:tc>
          <w:tcPr>
            <w:tcW w:w="8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Changes in fair value of these derivative assets and liabilities are included in the </w:t>
      </w:r>
      <w:r>
        <w:rPr>
          <w:rFonts w:ascii="Arial" w:cs="Arial" w:eastAsia="Arial" w:hAnsi="Arial"/>
          <w:sz w:val="14"/>
          <w:szCs w:val="14"/>
          <w:u w:val="single" w:color="auto"/>
          <w:color w:val="0000FF"/>
        </w:rPr>
        <w:t>Consolidated Statements of Income (Unaudited)</w:t>
      </w:r>
      <w:r>
        <w:rPr>
          <w:rFonts w:ascii="Arial" w:cs="Arial" w:eastAsia="Arial" w:hAnsi="Arial"/>
          <w:sz w:val="14"/>
          <w:szCs w:val="14"/>
          <w:color w:val="auto"/>
        </w:rPr>
        <w:t xml:space="preserve"> and are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690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560" w:type="dxa"/>
            <w:vAlign w:val="bottom"/>
            <w:gridSpan w:val="2"/>
          </w:tcPr>
          <w:p>
            <w:pPr>
              <w:ind w:left="500"/>
              <w:spacing w:after="0"/>
              <w:rPr>
                <w:sz w:val="20"/>
                <w:szCs w:val="20"/>
                <w:color w:val="auto"/>
              </w:rPr>
            </w:pPr>
            <w:r>
              <w:rPr>
                <w:rFonts w:ascii="Arial" w:cs="Arial" w:eastAsia="Arial" w:hAnsi="Arial"/>
                <w:sz w:val="11"/>
                <w:szCs w:val="11"/>
                <w:b w:val="1"/>
                <w:bCs w:val="1"/>
                <w:color w:val="auto"/>
              </w:rPr>
              <w:t>Location</w:t>
            </w:r>
          </w:p>
        </w:tc>
        <w:tc>
          <w:tcPr>
            <w:tcW w:w="320" w:type="dxa"/>
            <w:vAlign w:val="bottom"/>
          </w:tcPr>
          <w:p>
            <w:pPr>
              <w:spacing w:after="0"/>
              <w:rPr>
                <w:sz w:val="12"/>
                <w:szCs w:val="12"/>
                <w:color w:val="auto"/>
              </w:rPr>
            </w:pPr>
          </w:p>
        </w:tc>
        <w:tc>
          <w:tcPr>
            <w:tcW w:w="1040" w:type="dxa"/>
            <w:vAlign w:val="bottom"/>
          </w:tcPr>
          <w:p>
            <w:pPr>
              <w:jc w:val="right"/>
              <w:ind w:right="475"/>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93"/>
              <w:spacing w:after="0"/>
              <w:rPr>
                <w:sz w:val="20"/>
                <w:szCs w:val="20"/>
                <w:color w:val="auto"/>
              </w:rPr>
            </w:pPr>
            <w:r>
              <w:rPr>
                <w:rFonts w:ascii="Arial" w:cs="Arial" w:eastAsia="Arial" w:hAnsi="Arial"/>
                <w:sz w:val="11"/>
                <w:szCs w:val="11"/>
                <w:b w:val="1"/>
                <w:bCs w:val="1"/>
                <w:color w:val="auto"/>
              </w:rPr>
              <w:t>2024</w:t>
            </w:r>
          </w:p>
        </w:tc>
      </w:tr>
      <w:tr>
        <w:trPr>
          <w:trHeight w:val="192"/>
        </w:trPr>
        <w:tc>
          <w:tcPr>
            <w:tcW w:w="69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Interest rate swaps</w:t>
            </w:r>
          </w:p>
        </w:tc>
        <w:tc>
          <w:tcPr>
            <w:tcW w:w="14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20" w:type="dxa"/>
            <w:vAlign w:val="bottom"/>
            <w:tcBorders>
              <w:top w:val="single" w:sz="8" w:color="auto"/>
            </w:tcBorders>
            <w:shd w:val="clear" w:color="auto" w:fill="E0E7ED"/>
          </w:tcPr>
          <w:p>
            <w:pPr>
              <w:spacing w:after="0"/>
              <w:rPr>
                <w:sz w:val="16"/>
                <w:szCs w:val="16"/>
                <w:color w:val="auto"/>
              </w:rPr>
            </w:pPr>
          </w:p>
        </w:tc>
        <w:tc>
          <w:tcPr>
            <w:tcW w:w="104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320" w:type="dxa"/>
            <w:vAlign w:val="bottom"/>
            <w:tcBorders>
              <w:top w:val="single" w:sz="8" w:color="auto"/>
            </w:tcBorders>
            <w:shd w:val="clear" w:color="auto" w:fill="E0E7ED"/>
          </w:tcPr>
          <w:p>
            <w:pPr>
              <w:spacing w:after="0"/>
              <w:rPr>
                <w:sz w:val="16"/>
                <w:szCs w:val="16"/>
                <w:color w:val="auto"/>
              </w:rPr>
            </w:pPr>
          </w:p>
        </w:tc>
        <w:tc>
          <w:tcPr>
            <w:tcW w:w="1040" w:type="dxa"/>
            <w:vAlign w:val="bottom"/>
            <w:tcBorders>
              <w:top w:val="single" w:sz="8" w:color="auto"/>
            </w:tcBorders>
            <w:shd w:val="clear" w:color="auto" w:fill="E0E7ED"/>
          </w:tcPr>
          <w:p>
            <w:pPr>
              <w:spacing w:after="0"/>
              <w:rPr>
                <w:sz w:val="16"/>
                <w:szCs w:val="16"/>
                <w:color w:val="auto"/>
              </w:rPr>
            </w:pPr>
          </w:p>
        </w:tc>
      </w:tr>
      <w:tr>
        <w:trPr>
          <w:trHeight w:val="202"/>
        </w:trPr>
        <w:tc>
          <w:tcPr>
            <w:tcW w:w="6900" w:type="dxa"/>
            <w:vAlign w:val="bottom"/>
          </w:tcPr>
          <w:p>
            <w:pPr>
              <w:ind w:left="140"/>
              <w:spacing w:after="0"/>
              <w:rPr>
                <w:sz w:val="20"/>
                <w:szCs w:val="20"/>
                <w:color w:val="auto"/>
              </w:rPr>
            </w:pPr>
            <w:r>
              <w:rPr>
                <w:rFonts w:ascii="Arial" w:cs="Arial" w:eastAsia="Arial" w:hAnsi="Arial"/>
                <w:sz w:val="14"/>
                <w:szCs w:val="14"/>
                <w:color w:val="auto"/>
              </w:rPr>
              <w:t>Receive-fixed, pay-floating</w:t>
            </w:r>
          </w:p>
        </w:tc>
        <w:tc>
          <w:tcPr>
            <w:tcW w:w="1560" w:type="dxa"/>
            <w:vAlign w:val="bottom"/>
            <w:gridSpan w:val="2"/>
          </w:tcPr>
          <w:p>
            <w:pPr>
              <w:spacing w:after="0"/>
              <w:rPr>
                <w:sz w:val="20"/>
                <w:szCs w:val="20"/>
                <w:color w:val="auto"/>
              </w:rPr>
            </w:pPr>
            <w:r>
              <w:rPr>
                <w:rFonts w:ascii="Arial" w:cs="Arial" w:eastAsia="Arial" w:hAnsi="Arial"/>
                <w:sz w:val="14"/>
                <w:szCs w:val="14"/>
                <w:color w:val="auto"/>
              </w:rPr>
              <w:t>Noninterest expense</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3,034</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5,480</w:t>
            </w:r>
          </w:p>
        </w:tc>
      </w:tr>
      <w:tr>
        <w:trPr>
          <w:trHeight w:val="213"/>
        </w:trPr>
        <w:tc>
          <w:tcPr>
            <w:tcW w:w="69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Receive-floating, pay-fixed</w:t>
            </w:r>
          </w:p>
        </w:tc>
        <w:tc>
          <w:tcPr>
            <w:tcW w:w="1560" w:type="dxa"/>
            <w:vAlign w:val="bottom"/>
            <w:gridSpan w:val="2"/>
            <w:shd w:val="clear" w:color="auto" w:fill="E0E7ED"/>
          </w:tcPr>
          <w:p>
            <w:pPr>
              <w:spacing w:after="0"/>
              <w:rPr>
                <w:sz w:val="20"/>
                <w:szCs w:val="20"/>
                <w:color w:val="auto"/>
              </w:rPr>
            </w:pPr>
            <w:r>
              <w:rPr>
                <w:rFonts w:ascii="Arial" w:cs="Arial" w:eastAsia="Arial" w:hAnsi="Arial"/>
                <w:sz w:val="14"/>
                <w:szCs w:val="14"/>
                <w:color w:val="auto"/>
              </w:rPr>
              <w:t>Noninterest expense</w:t>
            </w: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(3,034)</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(5,480)</w:t>
            </w:r>
          </w:p>
        </w:tc>
      </w:tr>
      <w:tr>
        <w:trPr>
          <w:trHeight w:val="212"/>
        </w:trPr>
        <w:tc>
          <w:tcPr>
            <w:tcW w:w="6900" w:type="dxa"/>
            <w:vAlign w:val="bottom"/>
          </w:tcPr>
          <w:p>
            <w:pPr>
              <w:ind w:left="20"/>
              <w:spacing w:after="0"/>
              <w:rPr>
                <w:sz w:val="20"/>
                <w:szCs w:val="20"/>
                <w:color w:val="auto"/>
              </w:rPr>
            </w:pPr>
            <w:r>
              <w:rPr>
                <w:rFonts w:ascii="Arial" w:cs="Arial" w:eastAsia="Arial" w:hAnsi="Arial"/>
                <w:sz w:val="14"/>
                <w:szCs w:val="14"/>
                <w:color w:val="auto"/>
              </w:rPr>
              <w:t>Net change in fair value of interest rate swaps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 Participation Agreements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To manage the credit risk exposure related to customer-facing swaps, Busey entered into risk participation agreements in conjunction with loan participation arrangements with other financial institutions. Under these risk participation agreements, Busey purchased credit risk participation, paying an up-front fee to a counterparty to accept a portion of its credit exposure, and will receive a payment from the counterparty if the swap customer defaults on its obligations. In addition to these agreements Busey entered into, in connection with the CrossFirst acquisition, Busey assumed additional risk participation agreements entered into by CrossFirst, in which CrossFirst purchased credit risk participation, and Busey will receive a payment from the counterparty if the swap customer defaults on its obligations.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the CrossFirst acquisition, Busey assumed risk participation agreements entered into by CrossFirst, under which CrossFirst sold credit risk participation, receiving an up-front fee from a counterparty in exchange for accepting a portion of the counterparty’s credit exposure. Under these agreements, Busey will be required to make a payment to the counterparty if the swap customer defaults on its obligations.</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Notional amounts of the risk participation agreements reflect the participating banks’ pro-rata shares of the derivative instruments, consistent with their shares of the related participated loans. The risk participation agreements mature between October 2025 and October 2029, and are summarized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20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right"/>
              <w:ind w:right="253"/>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Risk participation agreements purchased</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Number of risk participation agreements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Notional amount</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59,267</w:t>
            </w: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40,092</w:t>
            </w: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460" w:type="dxa"/>
            <w:vAlign w:val="bottom"/>
          </w:tcPr>
          <w:p>
            <w:pPr>
              <w:ind w:left="20"/>
              <w:spacing w:after="0"/>
              <w:rPr>
                <w:sz w:val="20"/>
                <w:szCs w:val="20"/>
                <w:color w:val="auto"/>
              </w:rPr>
            </w:pPr>
            <w:r>
              <w:rPr>
                <w:rFonts w:ascii="Arial" w:cs="Arial" w:eastAsia="Arial" w:hAnsi="Arial"/>
                <w:sz w:val="14"/>
                <w:szCs w:val="14"/>
                <w:b w:val="1"/>
                <w:bCs w:val="1"/>
                <w:color w:val="auto"/>
              </w:rPr>
              <w:t>Risk participation agreements sold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Number of risk participation agreements</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Notional amount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106,163</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Fair value</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Mortgage Banking Derivatives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Rate Lock Commitments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Interest rate lock commitments that meet the definition of derivative financial instruments under ASC Topic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are carried at their fair values in other assets or other liabilities on the </w:t>
      </w:r>
      <w:r>
        <w:rPr>
          <w:rFonts w:ascii="Arial" w:cs="Arial" w:eastAsia="Arial" w:hAnsi="Arial"/>
          <w:sz w:val="14"/>
          <w:szCs w:val="14"/>
          <w:u w:val="single" w:color="auto"/>
          <w:color w:val="0000FF"/>
        </w:rPr>
        <w:t>Consolidated Balance Sheets (Unaudited)</w:t>
      </w:r>
      <w:r>
        <w:rPr>
          <w:rFonts w:ascii="Arial" w:cs="Arial" w:eastAsia="Arial" w:hAnsi="Arial"/>
          <w:sz w:val="14"/>
          <w:szCs w:val="14"/>
          <w:color w:val="auto"/>
        </w:rPr>
        <w:t>, with changes in the fair values of the corresponding derivative financial assets or liabilities recorded as either a charge or credit to current earnings during the period in which the changes occurred.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Forward Sales Commitments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are carried at their fair values in other assets or other liabilities on the </w:t>
      </w:r>
      <w:r>
        <w:rPr>
          <w:rFonts w:ascii="Arial" w:cs="Arial" w:eastAsia="Arial" w:hAnsi="Arial"/>
          <w:sz w:val="14"/>
          <w:szCs w:val="14"/>
          <w:u w:val="single" w:color="auto"/>
          <w:color w:val="0000FF"/>
        </w:rPr>
        <w:t>Consolidated Balance Sheets (Unaudited)</w:t>
      </w:r>
      <w:r>
        <w:rPr>
          <w:rFonts w:ascii="Arial" w:cs="Arial" w:eastAsia="Arial" w:hAnsi="Arial"/>
          <w:sz w:val="14"/>
          <w:szCs w:val="14"/>
          <w:color w:val="auto"/>
        </w:rPr>
        <w:t>. While such forward 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Amounts and fair values of mortgage banking derivatives included on the </w:t>
      </w:r>
      <w:r>
        <w:rPr>
          <w:rFonts w:ascii="Arial" w:cs="Arial" w:eastAsia="Arial" w:hAnsi="Arial"/>
          <w:sz w:val="14"/>
          <w:szCs w:val="14"/>
          <w:u w:val="single" w:color="auto"/>
          <w:color w:val="0000FF"/>
        </w:rPr>
        <w:t>Consolidated Balance Sheets (Unaudited)</w:t>
      </w:r>
      <w:r>
        <w:rPr>
          <w:rFonts w:ascii="Arial" w:cs="Arial" w:eastAsia="Arial" w:hAnsi="Arial"/>
          <w:sz w:val="14"/>
          <w:szCs w:val="14"/>
          <w:color w:val="auto"/>
        </w:rPr>
        <w:t xml:space="preserve"> are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1"/>
                <w:szCs w:val="11"/>
                <w:b w:val="1"/>
                <w:bCs w:val="1"/>
                <w:color w:val="auto"/>
              </w:rPr>
              <w:t>As of March 31, 2025</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1"/>
                <w:szCs w:val="11"/>
                <w:b w:val="1"/>
                <w:bCs w:val="1"/>
                <w:color w:val="auto"/>
              </w:rPr>
              <w:t>As of December 31, 2024</w:t>
            </w:r>
          </w:p>
        </w:tc>
        <w:tc>
          <w:tcPr>
            <w:tcW w:w="0" w:type="dxa"/>
            <w:vAlign w:val="bottom"/>
          </w:tcPr>
          <w:p>
            <w:pPr>
              <w:spacing w:after="0"/>
              <w:rPr>
                <w:sz w:val="1"/>
                <w:szCs w:val="1"/>
                <w:color w:val="auto"/>
              </w:rPr>
            </w:pPr>
          </w:p>
        </w:tc>
      </w:tr>
      <w:tr>
        <w:trPr>
          <w:trHeight w:val="107"/>
        </w:trPr>
        <w:tc>
          <w:tcPr>
            <w:tcW w:w="402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56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Location</w:t>
            </w:r>
          </w:p>
        </w:tc>
        <w:tc>
          <w:tcPr>
            <w:tcW w:w="280" w:type="dxa"/>
            <w:vAlign w:val="bottom"/>
          </w:tcPr>
          <w:p>
            <w:pPr>
              <w:spacing w:after="0"/>
              <w:rPr>
                <w:sz w:val="9"/>
                <w:szCs w:val="9"/>
                <w:color w:val="auto"/>
              </w:rPr>
            </w:pPr>
          </w:p>
        </w:tc>
        <w:tc>
          <w:tcPr>
            <w:tcW w:w="1160" w:type="dxa"/>
            <w:vAlign w:val="bottom"/>
            <w:gridSpan w:val="2"/>
          </w:tcPr>
          <w:p>
            <w:pPr>
              <w:ind w:left="180"/>
              <w:spacing w:after="0" w:line="107" w:lineRule="exact"/>
              <w:rPr>
                <w:sz w:val="20"/>
                <w:szCs w:val="20"/>
                <w:color w:val="auto"/>
              </w:rPr>
            </w:pPr>
            <w:r>
              <w:rPr>
                <w:rFonts w:ascii="Arial" w:cs="Arial" w:eastAsia="Arial" w:hAnsi="Arial"/>
                <w:sz w:val="11"/>
                <w:szCs w:val="11"/>
                <w:b w:val="1"/>
                <w:bCs w:val="1"/>
                <w:color w:val="auto"/>
              </w:rPr>
              <w:t>Notional</w:t>
            </w:r>
          </w:p>
        </w:tc>
        <w:tc>
          <w:tcPr>
            <w:tcW w:w="960" w:type="dxa"/>
            <w:vAlign w:val="bottom"/>
          </w:tcPr>
          <w:p>
            <w:pPr>
              <w:jc w:val="right"/>
              <w:ind w:right="94"/>
              <w:spacing w:after="0" w:line="107" w:lineRule="exact"/>
              <w:rPr>
                <w:sz w:val="20"/>
                <w:szCs w:val="20"/>
                <w:color w:val="auto"/>
              </w:rPr>
            </w:pPr>
            <w:r>
              <w:rPr>
                <w:rFonts w:ascii="Arial" w:cs="Arial" w:eastAsia="Arial" w:hAnsi="Arial"/>
                <w:sz w:val="11"/>
                <w:szCs w:val="11"/>
                <w:b w:val="1"/>
                <w:bCs w:val="1"/>
                <w:color w:val="auto"/>
              </w:rPr>
              <w:t>Fair</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ind w:left="180"/>
              <w:spacing w:after="0" w:line="107" w:lineRule="exact"/>
              <w:rPr>
                <w:sz w:val="20"/>
                <w:szCs w:val="20"/>
                <w:color w:val="auto"/>
              </w:rPr>
            </w:pPr>
            <w:r>
              <w:rPr>
                <w:rFonts w:ascii="Arial" w:cs="Arial" w:eastAsia="Arial" w:hAnsi="Arial"/>
                <w:sz w:val="11"/>
                <w:szCs w:val="11"/>
                <w:b w:val="1"/>
                <w:bCs w:val="1"/>
                <w:color w:val="auto"/>
              </w:rPr>
              <w:t>Notional</w:t>
            </w:r>
          </w:p>
        </w:tc>
        <w:tc>
          <w:tcPr>
            <w:tcW w:w="320" w:type="dxa"/>
            <w:vAlign w:val="bottom"/>
          </w:tcPr>
          <w:p>
            <w:pPr>
              <w:spacing w:after="0"/>
              <w:rPr>
                <w:sz w:val="9"/>
                <w:szCs w:val="9"/>
                <w:color w:val="auto"/>
              </w:rPr>
            </w:pPr>
          </w:p>
        </w:tc>
        <w:tc>
          <w:tcPr>
            <w:tcW w:w="1040" w:type="dxa"/>
            <w:vAlign w:val="bottom"/>
          </w:tcPr>
          <w:p>
            <w:pPr>
              <w:jc w:val="right"/>
              <w:ind w:right="513"/>
              <w:spacing w:after="0" w:line="107" w:lineRule="exact"/>
              <w:rPr>
                <w:sz w:val="20"/>
                <w:szCs w:val="20"/>
                <w:color w:val="auto"/>
              </w:rPr>
            </w:pPr>
            <w:r>
              <w:rPr>
                <w:rFonts w:ascii="Arial" w:cs="Arial" w:eastAsia="Arial" w:hAnsi="Arial"/>
                <w:sz w:val="11"/>
                <w:szCs w:val="11"/>
                <w:b w:val="1"/>
                <w:bCs w:val="1"/>
                <w:color w:val="auto"/>
              </w:rPr>
              <w:t>Fair</w:t>
            </w:r>
          </w:p>
        </w:tc>
        <w:tc>
          <w:tcPr>
            <w:tcW w:w="0" w:type="dxa"/>
            <w:vAlign w:val="bottom"/>
          </w:tcPr>
          <w:p>
            <w:pPr>
              <w:spacing w:after="0"/>
              <w:rPr>
                <w:sz w:val="1"/>
                <w:szCs w:val="1"/>
                <w:color w:val="auto"/>
              </w:rPr>
            </w:pPr>
          </w:p>
        </w:tc>
      </w:tr>
      <w:tr>
        <w:trPr>
          <w:trHeight w:val="138"/>
        </w:trPr>
        <w:tc>
          <w:tcPr>
            <w:tcW w:w="4020" w:type="dxa"/>
            <w:vAlign w:val="bottom"/>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960" w:type="dxa"/>
            <w:vAlign w:val="bottom"/>
          </w:tcPr>
          <w:p>
            <w:pPr>
              <w:jc w:val="right"/>
              <w:ind w:right="54"/>
              <w:spacing w:after="0"/>
              <w:rPr>
                <w:sz w:val="20"/>
                <w:szCs w:val="20"/>
                <w:color w:val="auto"/>
              </w:rPr>
            </w:pPr>
            <w:r>
              <w:rPr>
                <w:rFonts w:ascii="Arial" w:cs="Arial" w:eastAsia="Arial" w:hAnsi="Arial"/>
                <w:sz w:val="11"/>
                <w:szCs w:val="11"/>
                <w:b w:val="1"/>
                <w:bCs w:val="1"/>
                <w:color w:val="auto"/>
              </w:rPr>
              <w:t>Value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1040" w:type="dxa"/>
            <w:vAlign w:val="bottom"/>
          </w:tcPr>
          <w:p>
            <w:pPr>
              <w:jc w:val="right"/>
              <w:ind w:right="453"/>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92"/>
        </w:trPr>
        <w:tc>
          <w:tcPr>
            <w:tcW w:w="40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Mortgage banking derivative assets</w:t>
            </w:r>
          </w:p>
        </w:tc>
        <w:tc>
          <w:tcPr>
            <w:tcW w:w="14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960" w:type="dxa"/>
            <w:vAlign w:val="bottom"/>
            <w:tcBorders>
              <w:top w:val="single" w:sz="8" w:color="auto"/>
            </w:tcBorders>
            <w:shd w:val="clear" w:color="auto" w:fill="E0E7ED"/>
          </w:tcPr>
          <w:p>
            <w:pPr>
              <w:spacing w:after="0"/>
              <w:rPr>
                <w:sz w:val="16"/>
                <w:szCs w:val="16"/>
                <w:color w:val="auto"/>
              </w:rPr>
            </w:pPr>
          </w:p>
        </w:tc>
        <w:tc>
          <w:tcPr>
            <w:tcW w:w="40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60" w:type="dxa"/>
            <w:vAlign w:val="bottom"/>
            <w:tcBorders>
              <w:top w:val="single" w:sz="8" w:color="auto"/>
            </w:tcBorders>
            <w:shd w:val="clear" w:color="auto" w:fill="E0E7ED"/>
          </w:tcPr>
          <w:p>
            <w:pPr>
              <w:spacing w:after="0"/>
              <w:rPr>
                <w:sz w:val="16"/>
                <w:szCs w:val="16"/>
                <w:color w:val="auto"/>
              </w:rPr>
            </w:pPr>
          </w:p>
        </w:tc>
        <w:tc>
          <w:tcPr>
            <w:tcW w:w="110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20" w:type="dxa"/>
            <w:vAlign w:val="bottom"/>
            <w:tcBorders>
              <w:top w:val="single" w:sz="8" w:color="auto"/>
            </w:tcBorders>
            <w:shd w:val="clear" w:color="auto" w:fill="E0E7ED"/>
          </w:tcPr>
          <w:p>
            <w:pPr>
              <w:spacing w:after="0"/>
              <w:rPr>
                <w:sz w:val="16"/>
                <w:szCs w:val="16"/>
                <w:color w:val="auto"/>
              </w:rPr>
            </w:pPr>
          </w:p>
        </w:tc>
        <w:tc>
          <w:tcPr>
            <w:tcW w:w="104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20" w:type="dxa"/>
            <w:vAlign w:val="bottom"/>
          </w:tcPr>
          <w:p>
            <w:pPr>
              <w:ind w:left="140"/>
              <w:spacing w:after="0"/>
              <w:rPr>
                <w:sz w:val="20"/>
                <w:szCs w:val="20"/>
                <w:color w:val="auto"/>
              </w:rPr>
            </w:pPr>
            <w:r>
              <w:rPr>
                <w:rFonts w:ascii="Arial" w:cs="Arial" w:eastAsia="Arial" w:hAnsi="Arial"/>
                <w:sz w:val="14"/>
                <w:szCs w:val="14"/>
                <w:color w:val="auto"/>
              </w:rPr>
              <w:t>Interest rate lock commitments</w:t>
            </w:r>
          </w:p>
        </w:tc>
        <w:tc>
          <w:tcPr>
            <w:tcW w:w="156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8,206</w:t>
            </w:r>
          </w:p>
        </w:tc>
        <w:tc>
          <w:tcPr>
            <w:tcW w:w="80" w:type="dxa"/>
            <w:vAlign w:val="bottom"/>
          </w:tcPr>
          <w:p>
            <w:pPr>
              <w:spacing w:after="0"/>
              <w:rPr>
                <w:sz w:val="17"/>
                <w:szCs w:val="17"/>
                <w:color w:val="auto"/>
              </w:rPr>
            </w:pPr>
          </w:p>
        </w:tc>
        <w:tc>
          <w:tcPr>
            <w:tcW w:w="960" w:type="dxa"/>
            <w:vAlign w:val="bottom"/>
          </w:tcPr>
          <w:p>
            <w:pPr>
              <w:jc w:val="right"/>
              <w:ind w:right="794"/>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2,430</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13"/>
        </w:trPr>
        <w:tc>
          <w:tcPr>
            <w:tcW w:w="40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Forward sales commitments</w:t>
            </w:r>
          </w:p>
        </w:tc>
        <w:tc>
          <w:tcPr>
            <w:tcW w:w="1560" w:type="dxa"/>
            <w:vAlign w:val="bottom"/>
            <w:gridSpan w:val="2"/>
            <w:shd w:val="clear" w:color="auto" w:fill="E0E7ED"/>
          </w:tcPr>
          <w:p>
            <w:pPr>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1,389</w:t>
            </w:r>
          </w:p>
        </w:tc>
        <w:tc>
          <w:tcPr>
            <w:tcW w:w="80" w:type="dxa"/>
            <w:vAlign w:val="bottom"/>
            <w:shd w:val="clear" w:color="auto" w:fill="E0E7ED"/>
          </w:tcPr>
          <w:p>
            <w:pPr>
              <w:spacing w:after="0"/>
              <w:rPr>
                <w:sz w:val="18"/>
                <w:szCs w:val="18"/>
                <w:color w:val="auto"/>
              </w:rPr>
            </w:pPr>
          </w:p>
        </w:tc>
        <w:tc>
          <w:tcPr>
            <w:tcW w:w="960" w:type="dxa"/>
            <w:vAlign w:val="bottom"/>
            <w:tcBorders>
              <w:bottom w:val="single" w:sz="8" w:color="auto"/>
            </w:tcBorders>
            <w:shd w:val="clear" w:color="auto" w:fill="E0E7ED"/>
          </w:tcPr>
          <w:p>
            <w:pPr>
              <w:spacing w:after="0"/>
              <w:rPr>
                <w:sz w:val="18"/>
                <w:szCs w:val="18"/>
                <w:color w:val="auto"/>
              </w:rPr>
            </w:pPr>
          </w:p>
        </w:tc>
        <w:tc>
          <w:tcPr>
            <w:tcW w:w="4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0E7ED"/>
          </w:tcPr>
          <w:p>
            <w:pPr>
              <w:spacing w:after="0"/>
              <w:rPr>
                <w:sz w:val="18"/>
                <w:szCs w:val="18"/>
                <w:color w:val="auto"/>
              </w:rPr>
            </w:pP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3,457</w:t>
            </w:r>
          </w:p>
        </w:tc>
        <w:tc>
          <w:tcPr>
            <w:tcW w:w="8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2"/>
        </w:trPr>
        <w:tc>
          <w:tcPr>
            <w:tcW w:w="4020" w:type="dxa"/>
            <w:vAlign w:val="bottom"/>
          </w:tcPr>
          <w:p>
            <w:pPr>
              <w:ind w:left="20"/>
              <w:spacing w:after="0"/>
              <w:rPr>
                <w:sz w:val="20"/>
                <w:szCs w:val="20"/>
                <w:color w:val="auto"/>
              </w:rPr>
            </w:pPr>
            <w:r>
              <w:rPr>
                <w:rFonts w:ascii="Arial" w:cs="Arial" w:eastAsia="Arial" w:hAnsi="Arial"/>
                <w:sz w:val="14"/>
                <w:szCs w:val="14"/>
                <w:color w:val="auto"/>
              </w:rPr>
              <w:t>Mortgage banking derivative assets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9,595</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402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20" w:type="dxa"/>
            <w:vAlign w:val="bottom"/>
            <w:shd w:val="clear" w:color="auto" w:fill="E0E7ED"/>
          </w:tcPr>
          <w:p>
            <w:pPr>
              <w:spacing w:after="0"/>
              <w:rPr>
                <w:sz w:val="15"/>
                <w:szCs w:val="15"/>
                <w:color w:val="auto"/>
              </w:rPr>
            </w:pPr>
          </w:p>
        </w:tc>
        <w:tc>
          <w:tcPr>
            <w:tcW w:w="14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80" w:type="dxa"/>
            <w:vAlign w:val="bottom"/>
            <w:shd w:val="clear" w:color="auto" w:fill="E0E7ED"/>
          </w:tcPr>
          <w:p>
            <w:pPr>
              <w:spacing w:after="0"/>
              <w:rPr>
                <w:sz w:val="15"/>
                <w:szCs w:val="15"/>
                <w:color w:val="auto"/>
              </w:rPr>
            </w:pPr>
          </w:p>
        </w:tc>
        <w:tc>
          <w:tcPr>
            <w:tcW w:w="10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960" w:type="dxa"/>
            <w:vAlign w:val="bottom"/>
            <w:shd w:val="clear" w:color="auto" w:fill="E0E7ED"/>
          </w:tcPr>
          <w:p>
            <w:pPr>
              <w:spacing w:after="0"/>
              <w:rPr>
                <w:sz w:val="15"/>
                <w:szCs w:val="15"/>
                <w:color w:val="auto"/>
              </w:rPr>
            </w:pPr>
          </w:p>
        </w:tc>
        <w:tc>
          <w:tcPr>
            <w:tcW w:w="4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Mortgage banking derivative liabilities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Interest rate lock commitments</w:t>
            </w:r>
          </w:p>
        </w:tc>
        <w:tc>
          <w:tcPr>
            <w:tcW w:w="1560" w:type="dxa"/>
            <w:vAlign w:val="bottom"/>
            <w:gridSpan w:val="2"/>
            <w:shd w:val="clear" w:color="auto" w:fill="E0E7ED"/>
          </w:tcPr>
          <w:p>
            <w:pPr>
              <w:spacing w:after="0"/>
              <w:rPr>
                <w:sz w:val="20"/>
                <w:szCs w:val="20"/>
                <w:color w:val="auto"/>
              </w:rPr>
            </w:pPr>
            <w:r>
              <w:rPr>
                <w:rFonts w:ascii="Arial" w:cs="Arial" w:eastAsia="Arial" w:hAnsi="Arial"/>
                <w:sz w:val="14"/>
                <w:szCs w:val="14"/>
                <w:color w:val="auto"/>
              </w:rPr>
              <w:t>Other liabilities</w:t>
            </w:r>
          </w:p>
        </w:tc>
        <w:tc>
          <w:tcPr>
            <w:tcW w:w="280" w:type="dxa"/>
            <w:vAlign w:val="bottom"/>
            <w:shd w:val="clear" w:color="auto" w:fill="E0E7ED"/>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E0E7ED"/>
          </w:tcPr>
          <w:p>
            <w:pPr>
              <w:jc w:val="right"/>
              <w:ind w:right="794"/>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436</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3"/>
        </w:trPr>
        <w:tc>
          <w:tcPr>
            <w:tcW w:w="402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Forward sales commitments</w:t>
            </w:r>
          </w:p>
        </w:tc>
        <w:tc>
          <w:tcPr>
            <w:tcW w:w="1560" w:type="dxa"/>
            <w:vAlign w:val="bottom"/>
            <w:tcBorders>
              <w:bottom w:val="single" w:sz="8" w:color="E0E7ED"/>
            </w:tcBorders>
            <w:gridSpan w:val="2"/>
          </w:tcPr>
          <w:p>
            <w:pPr>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11,813</w:t>
            </w:r>
          </w:p>
        </w:tc>
        <w:tc>
          <w:tcPr>
            <w:tcW w:w="80" w:type="dxa"/>
            <w:vAlign w:val="bottom"/>
            <w:tcBorders>
              <w:bottom w:val="single" w:sz="8" w:color="E0E7ED"/>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1,955</w:t>
            </w:r>
          </w:p>
        </w:tc>
        <w:tc>
          <w:tcPr>
            <w:tcW w:w="8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Mortgage banking derivative liabilities</w:t>
            </w:r>
          </w:p>
        </w:tc>
        <w:tc>
          <w:tcPr>
            <w:tcW w:w="148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80" w:type="dxa"/>
            <w:vAlign w:val="bottom"/>
            <w:tcBorders>
              <w:bottom w:val="single" w:sz="8" w:color="auto"/>
            </w:tcBorders>
            <w:shd w:val="clear" w:color="auto" w:fill="E0E7ED"/>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11,813</w:t>
            </w:r>
          </w:p>
        </w:tc>
        <w:tc>
          <w:tcPr>
            <w:tcW w:w="80" w:type="dxa"/>
            <w:vAlign w:val="bottom"/>
            <w:tcBorders>
              <w:bottom w:val="single" w:sz="8" w:color="E0E7ED"/>
            </w:tcBorders>
            <w:shd w:val="clear" w:color="auto" w:fill="E0E7ED"/>
          </w:tcPr>
          <w:p>
            <w:pPr>
              <w:spacing w:after="0"/>
              <w:rPr>
                <w:sz w:val="20"/>
                <w:szCs w:val="20"/>
                <w:color w:val="auto"/>
              </w:rPr>
            </w:pPr>
          </w:p>
        </w:tc>
        <w:tc>
          <w:tcPr>
            <w:tcW w:w="960" w:type="dxa"/>
            <w:vAlign w:val="bottom"/>
            <w:tcBorders>
              <w:bottom w:val="single" w:sz="8" w:color="auto"/>
            </w:tcBorders>
            <w:shd w:val="clear" w:color="auto" w:fill="E0E7ED"/>
          </w:tcPr>
          <w:p>
            <w:pPr>
              <w:jc w:val="right"/>
              <w:ind w:right="794"/>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E0E7ED"/>
            </w:tcBorders>
            <w:shd w:val="clear" w:color="auto" w:fill="E0E7ED"/>
          </w:tcPr>
          <w:p>
            <w:pPr>
              <w:spacing w:after="0"/>
              <w:rPr>
                <w:sz w:val="20"/>
                <w:szCs w:val="20"/>
                <w:color w:val="auto"/>
              </w:rPr>
            </w:pPr>
          </w:p>
        </w:tc>
        <w:tc>
          <w:tcPr>
            <w:tcW w:w="260" w:type="dxa"/>
            <w:vAlign w:val="bottom"/>
            <w:tcBorders>
              <w:bottom w:val="single" w:sz="8" w:color="auto"/>
            </w:tcBorders>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2,391</w:t>
            </w:r>
          </w:p>
        </w:tc>
        <w:tc>
          <w:tcPr>
            <w:tcW w:w="80" w:type="dxa"/>
            <w:vAlign w:val="bottom"/>
            <w:tcBorders>
              <w:bottom w:val="single" w:sz="8" w:color="E0E7ED"/>
            </w:tcBorders>
            <w:shd w:val="clear" w:color="auto" w:fill="E0E7ED"/>
          </w:tcPr>
          <w:p>
            <w:pPr>
              <w:spacing w:after="0"/>
              <w:rPr>
                <w:sz w:val="20"/>
                <w:szCs w:val="20"/>
                <w:color w:val="auto"/>
              </w:rPr>
            </w:pPr>
          </w:p>
        </w:tc>
        <w:tc>
          <w:tcPr>
            <w:tcW w:w="320" w:type="dxa"/>
            <w:vAlign w:val="bottom"/>
            <w:tcBorders>
              <w:bottom w:val="single" w:sz="8" w:color="auto"/>
            </w:tcBorders>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402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Gains and losses relating to these derivative instruments are reported in noninterest income, and are summarized as follows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2024</w:t>
            </w: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Net gains (losses) on mortgage banking derivatives</w:t>
            </w: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Gains (losses) on interest rate lock commitments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Gains (losses) on forward sales commitments</w:t>
            </w: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(42)</w:t>
            </w: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Net gains (losses) on mortgage banking derivatives</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FAIR VALUE MEASUREMENTS</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4"/>
          <w:szCs w:val="14"/>
          <w:i w:val="1"/>
          <w:iCs w:val="1"/>
          <w:color w:val="auto"/>
        </w:rPr>
        <w:t>“Fair Value Measurement”</w:t>
      </w:r>
      <w:r>
        <w:rPr>
          <w:rFonts w:ascii="Arial" w:cs="Arial" w:eastAsia="Arial" w:hAnsi="Arial"/>
          <w:sz w:val="14"/>
          <w:szCs w:val="14"/>
          <w:color w:val="auto"/>
        </w:rPr>
        <w:t xml:space="preserve">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17"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Level 1 Inputs</w:t>
      </w:r>
      <w:r>
        <w:rPr>
          <w:rFonts w:ascii="Arial" w:cs="Arial" w:eastAsia="Arial" w:hAnsi="Arial"/>
          <w:sz w:val="14"/>
          <w:szCs w:val="14"/>
          <w:color w:val="auto"/>
        </w:rPr>
        <w:t>—Unadjusted quoted prices in active markets for identical assets or liabilities that the Company has the ability to access at the measurement date.</w:t>
      </w:r>
    </w:p>
    <w:p>
      <w:pPr>
        <w:spacing w:after="0" w:line="146"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Level 2 Inputs</w:t>
      </w:r>
      <w:r>
        <w:rPr>
          <w:rFonts w:ascii="Arial" w:cs="Arial" w:eastAsia="Arial" w:hAnsi="Arial"/>
          <w:sz w:val="14"/>
          <w:szCs w:val="14"/>
          <w:color w:val="auto"/>
        </w:rPr>
        <w:t>—Inputs other than quoted prices included in Level 1 that are observable for the asset or liability, either directly or indirectly. These might include quoted</w:t>
      </w:r>
      <w:r>
        <w:rPr>
          <w:rFonts w:ascii="Arial" w:cs="Arial" w:eastAsia="Arial" w:hAnsi="Arial"/>
          <w:sz w:val="14"/>
          <w:szCs w:val="14"/>
          <w:i w:val="1"/>
          <w:iCs w:val="1"/>
          <w:color w:val="auto"/>
        </w:rPr>
        <w:t xml:space="preserve"> </w:t>
      </w:r>
      <w:r>
        <w:rPr>
          <w:rFonts w:ascii="Arial" w:cs="Arial" w:eastAsia="Arial" w:hAnsi="Arial"/>
          <w:sz w:val="14"/>
          <w:szCs w:val="14"/>
          <w:color w:val="auto"/>
        </w:rPr>
        <w:t>prices for similar assets or liabilities in active markets, quoted prices for identical or similar assets or liabilities in markets that are not active, inputs other than quoted prices that are observable for the asset or liability (such as interest rates, volatility, prepayment speeds, credit risks, etc.) or inputs that are derived principally from or corroborated by market data by correlation or other means.</w:t>
      </w:r>
    </w:p>
    <w:p>
      <w:pPr>
        <w:spacing w:after="0" w:line="10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Level 3 Inputs</w:t>
      </w:r>
      <w:r>
        <w:rPr>
          <w:rFonts w:ascii="Arial" w:cs="Arial" w:eastAsia="Arial" w:hAnsi="Arial"/>
          <w:sz w:val="14"/>
          <w:szCs w:val="14"/>
          <w:color w:val="auto"/>
        </w:rPr>
        <w:t>—Unobservable inputs for estimating the fair values of assets or liabilities that reflect the Company’s own assumptions about the assumptions that market</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participants would use in pricing the assets or liabilities.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description of the valuation methodologies used for instruments measured at fair value, as well as the general classification of such instruments pursuant to the valuation hierarchy, is set forth below. These valuation methodologies were applied to Busey’s assets and liabilities that are carried at fair value.</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general, fair value estimates are based upon quoted market prices, when available. If such quoted market prices are not available, fair values are estimated utilizing independent valuation techniques that consider identical or similar securities for which significant assumptions are derived primarily from or corroborated by observable data. Valuation adjustments may be made to ensure that financial instruments are recorded at their estimated fair values. These adjustments may include amounts to reflect, among other things, counterparty credit quality and the company's creditworthiness as well as unobservable parameters. Any such valuation adjustments are applied consistently over time. While management believes Busey's valuation methodologies are appropriate and consistent with other market participants, the use of different methodologies or assumptions to estimate the fair value of certain financial instruments could result in a different estimate of fair value at the reporting date.</w:t>
      </w:r>
    </w:p>
    <w:p>
      <w:pPr>
        <w:spacing w:after="0" w:line="112" w:lineRule="exact"/>
        <w:rPr>
          <w:sz w:val="20"/>
          <w:szCs w:val="20"/>
          <w:color w:val="auto"/>
        </w:rPr>
      </w:pPr>
    </w:p>
    <w:p>
      <w:pPr>
        <w:ind w:right="5500"/>
        <w:spacing w:after="0" w:line="465" w:lineRule="auto"/>
        <w:rPr>
          <w:sz w:val="20"/>
          <w:szCs w:val="20"/>
          <w:color w:val="auto"/>
        </w:rPr>
      </w:pPr>
      <w:r>
        <w:rPr>
          <w:rFonts w:ascii="Arial" w:cs="Arial" w:eastAsia="Arial" w:hAnsi="Arial"/>
          <w:sz w:val="14"/>
          <w:szCs w:val="14"/>
          <w:b w:val="1"/>
          <w:bCs w:val="1"/>
          <w:i w:val="1"/>
          <w:iCs w:val="1"/>
          <w:color w:val="auto"/>
        </w:rPr>
        <w:t xml:space="preserve">Financial Assets and Financial Liabilities Measured at Fair Value on a Recurring Basis </w:t>
      </w:r>
      <w:r>
        <w:rPr>
          <w:rFonts w:ascii="Arial" w:cs="Arial" w:eastAsia="Arial" w:hAnsi="Arial"/>
          <w:sz w:val="14"/>
          <w:szCs w:val="14"/>
          <w:u w:val="single" w:color="auto"/>
          <w:color w:val="auto"/>
        </w:rPr>
        <w:t>Debt Securities Available for Sale</w:t>
      </w:r>
    </w:p>
    <w:p>
      <w:pPr>
        <w:jc w:val="both"/>
        <w:spacing w:after="0" w:line="265" w:lineRule="auto"/>
        <w:rPr>
          <w:sz w:val="20"/>
          <w:szCs w:val="20"/>
          <w:color w:val="auto"/>
        </w:rPr>
      </w:pPr>
      <w:r>
        <w:rPr>
          <w:rFonts w:ascii="Arial" w:cs="Arial" w:eastAsia="Arial" w:hAnsi="Arial"/>
          <w:sz w:val="14"/>
          <w:szCs w:val="14"/>
          <w:color w:val="auto"/>
        </w:rPr>
        <w:t>Debt securities classified as available for sale are reported at fair value, which is estimated using Level 2 inputs. Busey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to prepare evaluations, with a focus on observable market data such as benchmark curves, benchmarking of like securities, sector groupings, and matrix pricing.</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Equity Securities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Equity securities are reported at fair value, which is estimated using Level 1 or Level 2 inputs. Fair value measurements of mutual funds or stock in active markets are estimated using unadjusted quoted prices for identical assets at the measurement date and are classified as Level 1. Fair value measurements of stock that are not active use quoted prices for identical or similar assets in markets and are classified as Level 2.</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Derivative Assets and Derivative Liabilities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Busey’s derivative assets and derivative liabilities are reported at fair value, which is measured using Level 2 or Level 3 inputs. Fair values of derivative assets and liabilities are estimated based on prices that are obtained from a third-party which uses observable market inputs and, with the exception of risk participation agreements, are classified as Level 2. Due to the significance of unobservable inputs, derivative assets and liabilities related to risk participation agreements are classified as Level 3.</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financial assets and financial liabilities measured at estimated fair value on a recurring basis: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5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1"/>
                <w:szCs w:val="11"/>
                <w:b w:val="1"/>
                <w:bCs w:val="1"/>
                <w:color w:val="auto"/>
              </w:rPr>
              <w:t>As of March 31, 2025</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5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980" w:type="dxa"/>
            <w:vAlign w:val="bottom"/>
          </w:tcPr>
          <w:p>
            <w:pPr>
              <w:jc w:val="center"/>
              <w:ind w:left="339"/>
              <w:spacing w:after="0" w:line="107" w:lineRule="exact"/>
              <w:rPr>
                <w:sz w:val="20"/>
                <w:szCs w:val="20"/>
                <w:color w:val="auto"/>
              </w:rPr>
            </w:pPr>
            <w:r>
              <w:rPr>
                <w:rFonts w:ascii="Arial" w:cs="Arial" w:eastAsia="Arial" w:hAnsi="Arial"/>
                <w:sz w:val="11"/>
                <w:szCs w:val="11"/>
                <w:b w:val="1"/>
                <w:bCs w:val="1"/>
                <w:color w:val="auto"/>
              </w:rPr>
              <w:t>Level 1</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tcPr>
          <w:p>
            <w:pPr>
              <w:jc w:val="center"/>
              <w:ind w:right="380"/>
              <w:spacing w:after="0" w:line="107" w:lineRule="exact"/>
              <w:rPr>
                <w:sz w:val="20"/>
                <w:szCs w:val="20"/>
                <w:color w:val="auto"/>
              </w:rPr>
            </w:pPr>
            <w:r>
              <w:rPr>
                <w:rFonts w:ascii="Arial" w:cs="Arial" w:eastAsia="Arial" w:hAnsi="Arial"/>
                <w:sz w:val="11"/>
                <w:szCs w:val="11"/>
                <w:b w:val="1"/>
                <w:bCs w:val="1"/>
                <w:color w:val="auto"/>
              </w:rPr>
              <w:t>Level 2</w:t>
            </w:r>
          </w:p>
        </w:tc>
        <w:tc>
          <w:tcPr>
            <w:tcW w:w="1020" w:type="dxa"/>
            <w:vAlign w:val="bottom"/>
          </w:tcPr>
          <w:p>
            <w:pPr>
              <w:jc w:val="center"/>
              <w:ind w:left="299"/>
              <w:spacing w:after="0" w:line="107" w:lineRule="exact"/>
              <w:rPr>
                <w:sz w:val="20"/>
                <w:szCs w:val="20"/>
                <w:color w:val="auto"/>
              </w:rPr>
            </w:pPr>
            <w:r>
              <w:rPr>
                <w:rFonts w:ascii="Arial" w:cs="Arial" w:eastAsia="Arial" w:hAnsi="Arial"/>
                <w:sz w:val="11"/>
                <w:szCs w:val="11"/>
                <w:b w:val="1"/>
                <w:bCs w:val="1"/>
                <w:color w:val="auto"/>
              </w:rPr>
              <w:t>Level 3</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jc w:val="right"/>
              <w:ind w:right="492"/>
              <w:spacing w:after="0" w:line="107"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5560" w:type="dxa"/>
            <w:vAlign w:val="bottom"/>
            <w:vMerge w:val="continue"/>
          </w:tcPr>
          <w:p>
            <w:pPr>
              <w:spacing w:after="0"/>
              <w:rPr>
                <w:sz w:val="11"/>
                <w:szCs w:val="11"/>
                <w:color w:val="auto"/>
              </w:rPr>
            </w:pPr>
          </w:p>
        </w:tc>
        <w:tc>
          <w:tcPr>
            <w:tcW w:w="980" w:type="dxa"/>
            <w:vAlign w:val="bottom"/>
          </w:tcPr>
          <w:p>
            <w:pPr>
              <w:jc w:val="center"/>
              <w:ind w:left="339"/>
              <w:spacing w:after="0"/>
              <w:rPr>
                <w:sz w:val="20"/>
                <w:szCs w:val="20"/>
                <w:color w:val="auto"/>
              </w:rPr>
            </w:pPr>
            <w:r>
              <w:rPr>
                <w:rFonts w:ascii="Arial" w:cs="Arial" w:eastAsia="Arial" w:hAnsi="Arial"/>
                <w:sz w:val="11"/>
                <w:szCs w:val="11"/>
                <w:b w:val="1"/>
                <w:bCs w:val="1"/>
                <w:color w:val="auto"/>
              </w:rPr>
              <w:t>Inputs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Inputs</w:t>
            </w:r>
          </w:p>
        </w:tc>
        <w:tc>
          <w:tcPr>
            <w:tcW w:w="1020" w:type="dxa"/>
            <w:vAlign w:val="bottom"/>
          </w:tcPr>
          <w:p>
            <w:pPr>
              <w:jc w:val="center"/>
              <w:ind w:left="299"/>
              <w:spacing w:after="0"/>
              <w:rPr>
                <w:sz w:val="20"/>
                <w:szCs w:val="20"/>
                <w:color w:val="auto"/>
              </w:rPr>
            </w:pPr>
            <w:r>
              <w:rPr>
                <w:rFonts w:ascii="Arial" w:cs="Arial" w:eastAsia="Arial" w:hAnsi="Arial"/>
                <w:sz w:val="11"/>
                <w:szCs w:val="11"/>
                <w:b w:val="1"/>
                <w:bCs w:val="1"/>
                <w:color w:val="auto"/>
              </w:rPr>
              <w:t>Inputs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352"/>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92"/>
        </w:trPr>
        <w:tc>
          <w:tcPr>
            <w:tcW w:w="55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Debt securities available for sale:</w:t>
            </w:r>
          </w:p>
        </w:tc>
        <w:tc>
          <w:tcPr>
            <w:tcW w:w="980" w:type="dxa"/>
            <w:vAlign w:val="bottom"/>
            <w:tcBorders>
              <w:top w:val="single" w:sz="8" w:color="auto"/>
            </w:tcBorders>
            <w:shd w:val="clear" w:color="auto" w:fill="E0E7ED"/>
          </w:tcPr>
          <w:p>
            <w:pPr>
              <w:spacing w:after="0"/>
              <w:rPr>
                <w:sz w:val="16"/>
                <w:szCs w:val="16"/>
                <w:color w:val="auto"/>
              </w:rPr>
            </w:pPr>
          </w:p>
        </w:tc>
        <w:tc>
          <w:tcPr>
            <w:tcW w:w="3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0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020" w:type="dxa"/>
            <w:vAlign w:val="bottom"/>
            <w:tcBorders>
              <w:top w:val="single" w:sz="8" w:color="auto"/>
            </w:tcBorders>
            <w:shd w:val="clear" w:color="auto" w:fill="E0E7ED"/>
          </w:tcPr>
          <w:p>
            <w:pPr>
              <w:spacing w:after="0"/>
              <w:rPr>
                <w:sz w:val="16"/>
                <w:szCs w:val="16"/>
                <w:color w:val="auto"/>
              </w:rPr>
            </w:pPr>
          </w:p>
        </w:tc>
        <w:tc>
          <w:tcPr>
            <w:tcW w:w="34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40" w:type="dxa"/>
            <w:vAlign w:val="bottom"/>
            <w:tcBorders>
              <w:top w:val="single" w:sz="8" w:color="auto"/>
            </w:tcBorders>
            <w:shd w:val="clear" w:color="auto" w:fill="E0E7ED"/>
          </w:tcPr>
          <w:p>
            <w:pPr>
              <w:spacing w:after="0"/>
              <w:rPr>
                <w:sz w:val="16"/>
                <w:szCs w:val="16"/>
                <w:color w:val="auto"/>
              </w:rPr>
            </w:pPr>
          </w:p>
        </w:tc>
        <w:tc>
          <w:tcPr>
            <w:tcW w:w="112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60" w:type="dxa"/>
            <w:vAlign w:val="bottom"/>
          </w:tcPr>
          <w:p>
            <w:pPr>
              <w:ind w:left="140"/>
              <w:spacing w:after="0"/>
              <w:rPr>
                <w:sz w:val="20"/>
                <w:szCs w:val="20"/>
                <w:color w:val="auto"/>
              </w:rPr>
            </w:pPr>
            <w:r>
              <w:rPr>
                <w:rFonts w:ascii="Arial" w:cs="Arial" w:eastAsia="Arial" w:hAnsi="Arial"/>
                <w:sz w:val="14"/>
                <w:szCs w:val="14"/>
                <w:color w:val="auto"/>
              </w:rPr>
              <w:t>Obligations of U.S. government corporations and agencies</w:t>
            </w:r>
          </w:p>
        </w:tc>
        <w:tc>
          <w:tcPr>
            <w:tcW w:w="980" w:type="dxa"/>
            <w:vAlign w:val="bottom"/>
          </w:tcPr>
          <w:p>
            <w:pPr>
              <w:jc w:val="right"/>
              <w:ind w:right="819"/>
              <w:spacing w:after="0"/>
              <w:rPr>
                <w:sz w:val="20"/>
                <w:szCs w:val="20"/>
                <w:color w:val="auto"/>
              </w:rPr>
            </w:pPr>
            <w:r>
              <w:rPr>
                <w:rFonts w:ascii="Arial" w:cs="Arial" w:eastAsia="Arial" w:hAnsi="Arial"/>
                <w:sz w:val="14"/>
                <w:szCs w:val="14"/>
                <w:color w:val="auto"/>
              </w:rPr>
              <w:t>$</w:t>
            </w:r>
          </w:p>
        </w:tc>
        <w:tc>
          <w:tcPr>
            <w:tcW w:w="760" w:type="dxa"/>
            <w:vAlign w:val="bottom"/>
            <w:gridSpan w:val="3"/>
          </w:tcPr>
          <w:p>
            <w:pPr>
              <w:ind w:left="18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7"/>
                <w:szCs w:val="17"/>
                <w:color w:val="auto"/>
              </w:rPr>
            </w:pPr>
          </w:p>
        </w:tc>
        <w:tc>
          <w:tcPr>
            <w:tcW w:w="1020" w:type="dxa"/>
            <w:vAlign w:val="bottom"/>
          </w:tcPr>
          <w:p>
            <w:pPr>
              <w:jc w:val="right"/>
              <w:ind w:right="859"/>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40"/>
              <w:spacing w:after="0"/>
              <w:rPr>
                <w:sz w:val="20"/>
                <w:szCs w:val="20"/>
                <w:color w:val="auto"/>
              </w:rPr>
            </w:pPr>
            <w:r>
              <w:rPr>
                <w:rFonts w:ascii="Arial" w:cs="Arial" w:eastAsia="Arial" w:hAnsi="Arial"/>
                <w:sz w:val="14"/>
                <w:szCs w:val="14"/>
                <w:color w:val="auto"/>
              </w:rPr>
              <w:t>—  $</w:t>
            </w:r>
          </w:p>
        </w:tc>
        <w:tc>
          <w:tcPr>
            <w:tcW w:w="1120" w:type="dxa"/>
            <w:vAlign w:val="bottom"/>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22"/>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Obligations of states and political subdivisions</w:t>
            </w:r>
          </w:p>
        </w:tc>
        <w:tc>
          <w:tcPr>
            <w:tcW w:w="980" w:type="dxa"/>
            <w:vAlign w:val="bottom"/>
            <w:shd w:val="clear" w:color="auto" w:fill="E0E7ED"/>
          </w:tcPr>
          <w:p>
            <w:pPr>
              <w:spacing w:after="0"/>
              <w:rPr>
                <w:sz w:val="19"/>
                <w:szCs w:val="19"/>
                <w:color w:val="auto"/>
              </w:rPr>
            </w:pPr>
          </w:p>
        </w:tc>
        <w:tc>
          <w:tcPr>
            <w:tcW w:w="760" w:type="dxa"/>
            <w:vAlign w:val="bottom"/>
            <w:gridSpan w:val="3"/>
            <w:shd w:val="clear" w:color="auto" w:fill="E0E7ED"/>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243,864</w:t>
            </w:r>
          </w:p>
        </w:tc>
        <w:tc>
          <w:tcPr>
            <w:tcW w:w="80" w:type="dxa"/>
            <w:vAlign w:val="bottom"/>
            <w:shd w:val="clear" w:color="auto" w:fill="E0E7ED"/>
          </w:tcPr>
          <w:p>
            <w:pPr>
              <w:spacing w:after="0"/>
              <w:rPr>
                <w:sz w:val="19"/>
                <w:szCs w:val="19"/>
                <w:color w:val="auto"/>
              </w:rPr>
            </w:pPr>
          </w:p>
        </w:tc>
        <w:tc>
          <w:tcPr>
            <w:tcW w:w="1020" w:type="dxa"/>
            <w:vAlign w:val="bottom"/>
            <w:shd w:val="clear" w:color="auto" w:fill="E0E7ED"/>
          </w:tcPr>
          <w:p>
            <w:pPr>
              <w:spacing w:after="0"/>
              <w:rPr>
                <w:sz w:val="19"/>
                <w:szCs w:val="19"/>
                <w:color w:val="auto"/>
              </w:rPr>
            </w:pPr>
          </w:p>
        </w:tc>
        <w:tc>
          <w:tcPr>
            <w:tcW w:w="680" w:type="dxa"/>
            <w:vAlign w:val="bottom"/>
            <w:gridSpan w:val="3"/>
            <w:shd w:val="clear" w:color="auto" w:fill="E0E7ED"/>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243,864</w:t>
            </w:r>
          </w:p>
        </w:tc>
        <w:tc>
          <w:tcPr>
            <w:tcW w:w="0" w:type="dxa"/>
            <w:vAlign w:val="bottom"/>
          </w:tcPr>
          <w:p>
            <w:pPr>
              <w:spacing w:after="0"/>
              <w:rPr>
                <w:sz w:val="1"/>
                <w:szCs w:val="1"/>
                <w:color w:val="auto"/>
              </w:rPr>
            </w:pPr>
          </w:p>
        </w:tc>
      </w:tr>
      <w:tr>
        <w:trPr>
          <w:trHeight w:val="202"/>
        </w:trPr>
        <w:tc>
          <w:tcPr>
            <w:tcW w:w="5560" w:type="dxa"/>
            <w:vAlign w:val="bottom"/>
          </w:tcPr>
          <w:p>
            <w:pPr>
              <w:ind w:left="140"/>
              <w:spacing w:after="0"/>
              <w:rPr>
                <w:sz w:val="20"/>
                <w:szCs w:val="20"/>
                <w:color w:val="auto"/>
              </w:rPr>
            </w:pPr>
            <w:r>
              <w:rPr>
                <w:rFonts w:ascii="Arial" w:cs="Arial" w:eastAsia="Arial" w:hAnsi="Arial"/>
                <w:sz w:val="14"/>
                <w:szCs w:val="14"/>
                <w:color w:val="auto"/>
              </w:rPr>
              <w:t>Asset-backed securities</w:t>
            </w:r>
          </w:p>
        </w:tc>
        <w:tc>
          <w:tcPr>
            <w:tcW w:w="980" w:type="dxa"/>
            <w:vAlign w:val="bottom"/>
          </w:tcPr>
          <w:p>
            <w:pPr>
              <w:spacing w:after="0"/>
              <w:rPr>
                <w:sz w:val="17"/>
                <w:szCs w:val="17"/>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342,676</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342,676</w:t>
            </w:r>
          </w:p>
        </w:tc>
        <w:tc>
          <w:tcPr>
            <w:tcW w:w="0" w:type="dxa"/>
            <w:vAlign w:val="bottom"/>
          </w:tcPr>
          <w:p>
            <w:pPr>
              <w:spacing w:after="0"/>
              <w:rPr>
                <w:sz w:val="1"/>
                <w:szCs w:val="1"/>
                <w:color w:val="auto"/>
              </w:rPr>
            </w:pPr>
          </w:p>
        </w:tc>
      </w:tr>
      <w:tr>
        <w:trPr>
          <w:trHeight w:val="222"/>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Commercial mortgage-backed securities</w:t>
            </w:r>
          </w:p>
        </w:tc>
        <w:tc>
          <w:tcPr>
            <w:tcW w:w="980" w:type="dxa"/>
            <w:vAlign w:val="bottom"/>
            <w:shd w:val="clear" w:color="auto" w:fill="E0E7ED"/>
          </w:tcPr>
          <w:p>
            <w:pPr>
              <w:spacing w:after="0"/>
              <w:rPr>
                <w:sz w:val="19"/>
                <w:szCs w:val="19"/>
                <w:color w:val="auto"/>
              </w:rPr>
            </w:pPr>
          </w:p>
        </w:tc>
        <w:tc>
          <w:tcPr>
            <w:tcW w:w="760" w:type="dxa"/>
            <w:vAlign w:val="bottom"/>
            <w:gridSpan w:val="3"/>
            <w:shd w:val="clear" w:color="auto" w:fill="E0E7ED"/>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80,824</w:t>
            </w:r>
          </w:p>
        </w:tc>
        <w:tc>
          <w:tcPr>
            <w:tcW w:w="80" w:type="dxa"/>
            <w:vAlign w:val="bottom"/>
            <w:shd w:val="clear" w:color="auto" w:fill="E0E7ED"/>
          </w:tcPr>
          <w:p>
            <w:pPr>
              <w:spacing w:after="0"/>
              <w:rPr>
                <w:sz w:val="19"/>
                <w:szCs w:val="19"/>
                <w:color w:val="auto"/>
              </w:rPr>
            </w:pPr>
          </w:p>
        </w:tc>
        <w:tc>
          <w:tcPr>
            <w:tcW w:w="1020" w:type="dxa"/>
            <w:vAlign w:val="bottom"/>
            <w:shd w:val="clear" w:color="auto" w:fill="E0E7ED"/>
          </w:tcPr>
          <w:p>
            <w:pPr>
              <w:spacing w:after="0"/>
              <w:rPr>
                <w:sz w:val="19"/>
                <w:szCs w:val="19"/>
                <w:color w:val="auto"/>
              </w:rPr>
            </w:pPr>
          </w:p>
        </w:tc>
        <w:tc>
          <w:tcPr>
            <w:tcW w:w="680" w:type="dxa"/>
            <w:vAlign w:val="bottom"/>
            <w:gridSpan w:val="3"/>
            <w:shd w:val="clear" w:color="auto" w:fill="E0E7ED"/>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80,824</w:t>
            </w:r>
          </w:p>
        </w:tc>
        <w:tc>
          <w:tcPr>
            <w:tcW w:w="0" w:type="dxa"/>
            <w:vAlign w:val="bottom"/>
          </w:tcPr>
          <w:p>
            <w:pPr>
              <w:spacing w:after="0"/>
              <w:rPr>
                <w:sz w:val="1"/>
                <w:szCs w:val="1"/>
                <w:color w:val="auto"/>
              </w:rPr>
            </w:pPr>
          </w:p>
        </w:tc>
      </w:tr>
      <w:tr>
        <w:trPr>
          <w:trHeight w:val="202"/>
        </w:trPr>
        <w:tc>
          <w:tcPr>
            <w:tcW w:w="5560" w:type="dxa"/>
            <w:vAlign w:val="bottom"/>
          </w:tcPr>
          <w:p>
            <w:pPr>
              <w:ind w:left="140"/>
              <w:spacing w:after="0"/>
              <w:rPr>
                <w:sz w:val="20"/>
                <w:szCs w:val="20"/>
                <w:color w:val="auto"/>
              </w:rPr>
            </w:pPr>
            <w:r>
              <w:rPr>
                <w:rFonts w:ascii="Arial" w:cs="Arial" w:eastAsia="Arial" w:hAnsi="Arial"/>
                <w:sz w:val="14"/>
                <w:szCs w:val="14"/>
                <w:color w:val="auto"/>
              </w:rPr>
              <w:t>Residential mortgage-backed securities</w:t>
            </w:r>
          </w:p>
        </w:tc>
        <w:tc>
          <w:tcPr>
            <w:tcW w:w="980" w:type="dxa"/>
            <w:vAlign w:val="bottom"/>
          </w:tcPr>
          <w:p>
            <w:pPr>
              <w:spacing w:after="0"/>
              <w:rPr>
                <w:sz w:val="17"/>
                <w:szCs w:val="17"/>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1,495,516</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1,495,516</w:t>
            </w:r>
          </w:p>
        </w:tc>
        <w:tc>
          <w:tcPr>
            <w:tcW w:w="0" w:type="dxa"/>
            <w:vAlign w:val="bottom"/>
          </w:tcPr>
          <w:p>
            <w:pPr>
              <w:spacing w:after="0"/>
              <w:rPr>
                <w:sz w:val="1"/>
                <w:szCs w:val="1"/>
                <w:color w:val="auto"/>
              </w:rPr>
            </w:pPr>
          </w:p>
        </w:tc>
      </w:tr>
      <w:tr>
        <w:trPr>
          <w:trHeight w:val="222"/>
        </w:trPr>
        <w:tc>
          <w:tcPr>
            <w:tcW w:w="55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Corporate debt securities</w:t>
            </w:r>
          </w:p>
        </w:tc>
        <w:tc>
          <w:tcPr>
            <w:tcW w:w="980" w:type="dxa"/>
            <w:vAlign w:val="bottom"/>
            <w:shd w:val="clear" w:color="auto" w:fill="E0E7ED"/>
          </w:tcPr>
          <w:p>
            <w:pPr>
              <w:spacing w:after="0"/>
              <w:rPr>
                <w:sz w:val="19"/>
                <w:szCs w:val="19"/>
                <w:color w:val="auto"/>
              </w:rPr>
            </w:pPr>
          </w:p>
        </w:tc>
        <w:tc>
          <w:tcPr>
            <w:tcW w:w="760" w:type="dxa"/>
            <w:vAlign w:val="bottom"/>
            <w:gridSpan w:val="3"/>
            <w:shd w:val="clear" w:color="auto" w:fill="E0E7ED"/>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110,777</w:t>
            </w:r>
          </w:p>
        </w:tc>
        <w:tc>
          <w:tcPr>
            <w:tcW w:w="80" w:type="dxa"/>
            <w:vAlign w:val="bottom"/>
            <w:shd w:val="clear" w:color="auto" w:fill="E0E7ED"/>
          </w:tcPr>
          <w:p>
            <w:pPr>
              <w:spacing w:after="0"/>
              <w:rPr>
                <w:sz w:val="19"/>
                <w:szCs w:val="19"/>
                <w:color w:val="auto"/>
              </w:rPr>
            </w:pPr>
          </w:p>
        </w:tc>
        <w:tc>
          <w:tcPr>
            <w:tcW w:w="1020" w:type="dxa"/>
            <w:vAlign w:val="bottom"/>
            <w:shd w:val="clear" w:color="auto" w:fill="E0E7ED"/>
          </w:tcPr>
          <w:p>
            <w:pPr>
              <w:spacing w:after="0"/>
              <w:rPr>
                <w:sz w:val="19"/>
                <w:szCs w:val="19"/>
                <w:color w:val="auto"/>
              </w:rPr>
            </w:pPr>
          </w:p>
        </w:tc>
        <w:tc>
          <w:tcPr>
            <w:tcW w:w="680" w:type="dxa"/>
            <w:vAlign w:val="bottom"/>
            <w:gridSpan w:val="3"/>
            <w:shd w:val="clear" w:color="auto" w:fill="E0E7ED"/>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110,777</w:t>
            </w:r>
          </w:p>
        </w:tc>
        <w:tc>
          <w:tcPr>
            <w:tcW w:w="0" w:type="dxa"/>
            <w:vAlign w:val="bottom"/>
          </w:tcPr>
          <w:p>
            <w:pPr>
              <w:spacing w:after="0"/>
              <w:rPr>
                <w:sz w:val="1"/>
                <w:szCs w:val="1"/>
                <w:color w:val="auto"/>
              </w:rPr>
            </w:pPr>
          </w:p>
        </w:tc>
      </w:tr>
      <w:tr>
        <w:trPr>
          <w:trHeight w:val="202"/>
        </w:trPr>
        <w:tc>
          <w:tcPr>
            <w:tcW w:w="556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9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10,004</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10,828</w:t>
            </w:r>
          </w:p>
        </w:tc>
        <w:tc>
          <w:tcPr>
            <w:tcW w:w="0" w:type="dxa"/>
            <w:vAlign w:val="bottom"/>
          </w:tcPr>
          <w:p>
            <w:pPr>
              <w:spacing w:after="0"/>
              <w:rPr>
                <w:sz w:val="1"/>
                <w:szCs w:val="1"/>
                <w:color w:val="auto"/>
              </w:rPr>
            </w:pPr>
          </w:p>
        </w:tc>
      </w:tr>
      <w:tr>
        <w:trPr>
          <w:trHeight w:val="222"/>
        </w:trPr>
        <w:tc>
          <w:tcPr>
            <w:tcW w:w="5560" w:type="dxa"/>
            <w:vAlign w:val="bottom"/>
            <w:shd w:val="clear" w:color="auto" w:fill="E0E7ED"/>
          </w:tcPr>
          <w:p>
            <w:pPr>
              <w:ind w:left="20"/>
              <w:spacing w:after="0"/>
              <w:rPr>
                <w:sz w:val="20"/>
                <w:szCs w:val="20"/>
                <w:color w:val="auto"/>
              </w:rPr>
            </w:pPr>
            <w:r>
              <w:rPr>
                <w:rFonts w:ascii="Arial" w:cs="Arial" w:eastAsia="Arial" w:hAnsi="Arial"/>
                <w:sz w:val="14"/>
                <w:szCs w:val="14"/>
                <w:color w:val="auto"/>
              </w:rPr>
              <w:t>Derivative assets</w:t>
            </w:r>
          </w:p>
        </w:tc>
        <w:tc>
          <w:tcPr>
            <w:tcW w:w="980" w:type="dxa"/>
            <w:vAlign w:val="bottom"/>
            <w:shd w:val="clear" w:color="auto" w:fill="E0E7ED"/>
          </w:tcPr>
          <w:p>
            <w:pPr>
              <w:spacing w:after="0"/>
              <w:rPr>
                <w:sz w:val="19"/>
                <w:szCs w:val="19"/>
                <w:color w:val="auto"/>
              </w:rPr>
            </w:pPr>
          </w:p>
        </w:tc>
        <w:tc>
          <w:tcPr>
            <w:tcW w:w="760" w:type="dxa"/>
            <w:vAlign w:val="bottom"/>
            <w:gridSpan w:val="3"/>
            <w:shd w:val="clear" w:color="auto" w:fill="E0E7ED"/>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35,034</w:t>
            </w:r>
          </w:p>
        </w:tc>
        <w:tc>
          <w:tcPr>
            <w:tcW w:w="80" w:type="dxa"/>
            <w:vAlign w:val="bottom"/>
            <w:shd w:val="clear" w:color="auto" w:fill="E0E7ED"/>
          </w:tcPr>
          <w:p>
            <w:pPr>
              <w:spacing w:after="0"/>
              <w:rPr>
                <w:sz w:val="19"/>
                <w:szCs w:val="19"/>
                <w:color w:val="auto"/>
              </w:rPr>
            </w:pPr>
          </w:p>
        </w:tc>
        <w:tc>
          <w:tcPr>
            <w:tcW w:w="1020" w:type="dxa"/>
            <w:vAlign w:val="bottom"/>
            <w:shd w:val="clear" w:color="auto" w:fill="E0E7ED"/>
          </w:tcPr>
          <w:p>
            <w:pPr>
              <w:spacing w:after="0"/>
              <w:rPr>
                <w:sz w:val="19"/>
                <w:szCs w:val="19"/>
                <w:color w:val="auto"/>
              </w:rPr>
            </w:pPr>
          </w:p>
        </w:tc>
        <w:tc>
          <w:tcPr>
            <w:tcW w:w="3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35,062</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980" w:type="dxa"/>
            <w:vAlign w:val="bottom"/>
          </w:tcPr>
          <w:p>
            <w:pPr>
              <w:spacing w:after="0"/>
              <w:rPr>
                <w:sz w:val="16"/>
                <w:szCs w:val="16"/>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54,567</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54,634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1"/>
                <w:szCs w:val="11"/>
                <w:b w:val="1"/>
                <w:bCs w:val="1"/>
                <w:color w:val="auto"/>
              </w:rPr>
              <w:t>As of December 31, 2024</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4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vMerge w:val="restart"/>
          </w:tcPr>
          <w:p>
            <w:pPr>
              <w:spacing w:after="0"/>
              <w:rPr>
                <w:sz w:val="9"/>
                <w:szCs w:val="9"/>
                <w:color w:val="auto"/>
              </w:rPr>
            </w:pPr>
          </w:p>
        </w:tc>
        <w:tc>
          <w:tcPr>
            <w:tcW w:w="920" w:type="dxa"/>
            <w:vAlign w:val="bottom"/>
          </w:tcPr>
          <w:p>
            <w:pPr>
              <w:jc w:val="center"/>
              <w:ind w:left="399"/>
              <w:spacing w:after="0" w:line="107" w:lineRule="exact"/>
              <w:rPr>
                <w:sz w:val="20"/>
                <w:szCs w:val="20"/>
                <w:color w:val="auto"/>
              </w:rPr>
            </w:pPr>
            <w:r>
              <w:rPr>
                <w:rFonts w:ascii="Arial" w:cs="Arial" w:eastAsia="Arial" w:hAnsi="Arial"/>
                <w:sz w:val="11"/>
                <w:szCs w:val="11"/>
                <w:b w:val="1"/>
                <w:bCs w:val="1"/>
                <w:color w:val="auto"/>
              </w:rPr>
              <w:t>Level 1</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tcPr>
          <w:p>
            <w:pPr>
              <w:ind w:left="200"/>
              <w:spacing w:after="0" w:line="107" w:lineRule="exact"/>
              <w:rPr>
                <w:sz w:val="20"/>
                <w:szCs w:val="20"/>
                <w:color w:val="auto"/>
              </w:rPr>
            </w:pPr>
            <w:r>
              <w:rPr>
                <w:rFonts w:ascii="Arial" w:cs="Arial" w:eastAsia="Arial" w:hAnsi="Arial"/>
                <w:sz w:val="11"/>
                <w:szCs w:val="11"/>
                <w:b w:val="1"/>
                <w:bCs w:val="1"/>
                <w:color w:val="auto"/>
              </w:rPr>
              <w:t>Level 2</w:t>
            </w:r>
          </w:p>
        </w:tc>
        <w:tc>
          <w:tcPr>
            <w:tcW w:w="1020" w:type="dxa"/>
            <w:vAlign w:val="bottom"/>
          </w:tcPr>
          <w:p>
            <w:pPr>
              <w:jc w:val="center"/>
              <w:ind w:left="299"/>
              <w:spacing w:after="0" w:line="107" w:lineRule="exact"/>
              <w:rPr>
                <w:sz w:val="20"/>
                <w:szCs w:val="20"/>
                <w:color w:val="auto"/>
              </w:rPr>
            </w:pPr>
            <w:r>
              <w:rPr>
                <w:rFonts w:ascii="Arial" w:cs="Arial" w:eastAsia="Arial" w:hAnsi="Arial"/>
                <w:sz w:val="11"/>
                <w:szCs w:val="11"/>
                <w:b w:val="1"/>
                <w:bCs w:val="1"/>
                <w:color w:val="auto"/>
              </w:rPr>
              <w:t>Level 3</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jc w:val="right"/>
              <w:ind w:right="492"/>
              <w:spacing w:after="0" w:line="107"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5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920" w:type="dxa"/>
            <w:vAlign w:val="bottom"/>
            <w:tcBorders>
              <w:bottom w:val="single" w:sz="8" w:color="auto"/>
            </w:tcBorders>
          </w:tcPr>
          <w:p>
            <w:pPr>
              <w:jc w:val="center"/>
              <w:ind w:left="399"/>
              <w:spacing w:after="0"/>
              <w:rPr>
                <w:sz w:val="20"/>
                <w:szCs w:val="20"/>
                <w:color w:val="auto"/>
              </w:rPr>
            </w:pPr>
            <w:r>
              <w:rPr>
                <w:rFonts w:ascii="Arial" w:cs="Arial" w:eastAsia="Arial" w:hAnsi="Arial"/>
                <w:sz w:val="11"/>
                <w:szCs w:val="11"/>
                <w:b w:val="1"/>
                <w:bCs w:val="1"/>
                <w:color w:val="auto"/>
              </w:rPr>
              <w:t>Inputs</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rPr>
              <w:t>Inputs</w:t>
            </w:r>
          </w:p>
        </w:tc>
        <w:tc>
          <w:tcPr>
            <w:tcW w:w="80" w:type="dxa"/>
            <w:vAlign w:val="bottom"/>
            <w:tcBorders>
              <w:bottom w:val="single" w:sz="8" w:color="E0E7ED"/>
            </w:tcBorders>
          </w:tcPr>
          <w:p>
            <w:pPr>
              <w:spacing w:after="0"/>
              <w:rPr>
                <w:sz w:val="11"/>
                <w:szCs w:val="11"/>
                <w:color w:val="auto"/>
              </w:rPr>
            </w:pPr>
          </w:p>
        </w:tc>
        <w:tc>
          <w:tcPr>
            <w:tcW w:w="1020" w:type="dxa"/>
            <w:vAlign w:val="bottom"/>
            <w:tcBorders>
              <w:bottom w:val="single" w:sz="8" w:color="auto"/>
            </w:tcBorders>
          </w:tcPr>
          <w:p>
            <w:pPr>
              <w:jc w:val="center"/>
              <w:ind w:left="299"/>
              <w:spacing w:after="0"/>
              <w:rPr>
                <w:sz w:val="20"/>
                <w:szCs w:val="20"/>
                <w:color w:val="auto"/>
              </w:rPr>
            </w:pPr>
            <w:r>
              <w:rPr>
                <w:rFonts w:ascii="Arial" w:cs="Arial" w:eastAsia="Arial" w:hAnsi="Arial"/>
                <w:sz w:val="11"/>
                <w:szCs w:val="11"/>
                <w:b w:val="1"/>
                <w:bCs w:val="1"/>
                <w:color w:val="auto"/>
              </w:rPr>
              <w:t>Inputs</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203"/>
        </w:trPr>
        <w:tc>
          <w:tcPr>
            <w:tcW w:w="556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Debt securities available for sale:</w:t>
            </w:r>
          </w:p>
        </w:tc>
        <w:tc>
          <w:tcPr>
            <w:tcW w:w="920" w:type="dxa"/>
            <w:vAlign w:val="bottom"/>
            <w:shd w:val="clear" w:color="auto" w:fill="E0E7ED"/>
          </w:tcPr>
          <w:p>
            <w:pPr>
              <w:spacing w:after="0"/>
              <w:rPr>
                <w:sz w:val="17"/>
                <w:szCs w:val="17"/>
                <w:color w:val="auto"/>
              </w:rPr>
            </w:pPr>
          </w:p>
        </w:tc>
        <w:tc>
          <w:tcPr>
            <w:tcW w:w="4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00" w:type="dxa"/>
            <w:vAlign w:val="bottom"/>
            <w:shd w:val="clear" w:color="auto" w:fill="E0E7ED"/>
          </w:tcPr>
          <w:p>
            <w:pPr>
              <w:spacing w:after="0"/>
              <w:rPr>
                <w:sz w:val="17"/>
                <w:szCs w:val="17"/>
                <w:color w:val="auto"/>
              </w:rPr>
            </w:pPr>
          </w:p>
        </w:tc>
        <w:tc>
          <w:tcPr>
            <w:tcW w:w="10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c>
          <w:tcPr>
            <w:tcW w:w="34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112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Obligations of U.S. government corporations and agencies</w:t>
            </w:r>
          </w:p>
        </w:tc>
        <w:tc>
          <w:tcPr>
            <w:tcW w:w="920" w:type="dxa"/>
            <w:vAlign w:val="bottom"/>
          </w:tcPr>
          <w:p>
            <w:pPr>
              <w:jc w:val="right"/>
              <w:ind w:right="759"/>
              <w:spacing w:after="0"/>
              <w:rPr>
                <w:sz w:val="20"/>
                <w:szCs w:val="20"/>
                <w:color w:val="auto"/>
              </w:rPr>
            </w:pPr>
            <w:r>
              <w:rPr>
                <w:rFonts w:ascii="Arial" w:cs="Arial" w:eastAsia="Arial" w:hAnsi="Arial"/>
                <w:sz w:val="14"/>
                <w:szCs w:val="14"/>
                <w:color w:val="auto"/>
              </w:rPr>
              <w:t>$</w:t>
            </w:r>
          </w:p>
        </w:tc>
        <w:tc>
          <w:tcPr>
            <w:tcW w:w="820" w:type="dxa"/>
            <w:vAlign w:val="bottom"/>
            <w:gridSpan w:val="3"/>
          </w:tcPr>
          <w:p>
            <w:pPr>
              <w:ind w:left="24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1,400</w:t>
            </w:r>
          </w:p>
        </w:tc>
        <w:tc>
          <w:tcPr>
            <w:tcW w:w="80" w:type="dxa"/>
            <w:vAlign w:val="bottom"/>
          </w:tcPr>
          <w:p>
            <w:pPr>
              <w:spacing w:after="0"/>
              <w:rPr>
                <w:sz w:val="17"/>
                <w:szCs w:val="17"/>
                <w:color w:val="auto"/>
              </w:rPr>
            </w:pPr>
          </w:p>
        </w:tc>
        <w:tc>
          <w:tcPr>
            <w:tcW w:w="1020" w:type="dxa"/>
            <w:vAlign w:val="bottom"/>
          </w:tcPr>
          <w:p>
            <w:pPr>
              <w:jc w:val="right"/>
              <w:ind w:right="859"/>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40"/>
              <w:spacing w:after="0"/>
              <w:rPr>
                <w:sz w:val="20"/>
                <w:szCs w:val="20"/>
                <w:color w:val="auto"/>
              </w:rPr>
            </w:pPr>
            <w:r>
              <w:rPr>
                <w:rFonts w:ascii="Arial" w:cs="Arial" w:eastAsia="Arial" w:hAnsi="Arial"/>
                <w:sz w:val="14"/>
                <w:szCs w:val="14"/>
                <w:color w:val="auto"/>
              </w:rPr>
              <w:t>—  $</w:t>
            </w:r>
          </w:p>
        </w:tc>
        <w:tc>
          <w:tcPr>
            <w:tcW w:w="1120" w:type="dxa"/>
            <w:vAlign w:val="bottom"/>
          </w:tcPr>
          <w:p>
            <w:pPr>
              <w:jc w:val="right"/>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Obligations of states and political subdivisions</w:t>
            </w:r>
          </w:p>
        </w:tc>
        <w:tc>
          <w:tcPr>
            <w:tcW w:w="920" w:type="dxa"/>
            <w:vAlign w:val="bottom"/>
            <w:shd w:val="clear" w:color="auto" w:fill="E0E7ED"/>
          </w:tcPr>
          <w:p>
            <w:pPr>
              <w:spacing w:after="0"/>
              <w:rPr>
                <w:sz w:val="19"/>
                <w:szCs w:val="19"/>
                <w:color w:val="auto"/>
              </w:rPr>
            </w:pPr>
          </w:p>
        </w:tc>
        <w:tc>
          <w:tcPr>
            <w:tcW w:w="820" w:type="dxa"/>
            <w:vAlign w:val="bottom"/>
            <w:gridSpan w:val="3"/>
            <w:shd w:val="clear" w:color="auto" w:fill="E0E7ED"/>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139,829</w:t>
            </w:r>
          </w:p>
        </w:tc>
        <w:tc>
          <w:tcPr>
            <w:tcW w:w="80" w:type="dxa"/>
            <w:vAlign w:val="bottom"/>
            <w:shd w:val="clear" w:color="auto" w:fill="E0E7ED"/>
          </w:tcPr>
          <w:p>
            <w:pPr>
              <w:spacing w:after="0"/>
              <w:rPr>
                <w:sz w:val="19"/>
                <w:szCs w:val="19"/>
                <w:color w:val="auto"/>
              </w:rPr>
            </w:pPr>
          </w:p>
        </w:tc>
        <w:tc>
          <w:tcPr>
            <w:tcW w:w="1020" w:type="dxa"/>
            <w:vAlign w:val="bottom"/>
            <w:shd w:val="clear" w:color="auto" w:fill="E0E7ED"/>
          </w:tcPr>
          <w:p>
            <w:pPr>
              <w:spacing w:after="0"/>
              <w:rPr>
                <w:sz w:val="19"/>
                <w:szCs w:val="19"/>
                <w:color w:val="auto"/>
              </w:rPr>
            </w:pPr>
          </w:p>
        </w:tc>
        <w:tc>
          <w:tcPr>
            <w:tcW w:w="680" w:type="dxa"/>
            <w:vAlign w:val="bottom"/>
            <w:gridSpan w:val="3"/>
            <w:shd w:val="clear" w:color="auto" w:fill="E0E7ED"/>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139,829</w:t>
            </w:r>
          </w:p>
        </w:tc>
        <w:tc>
          <w:tcPr>
            <w:tcW w:w="0" w:type="dxa"/>
            <w:vAlign w:val="bottom"/>
          </w:tcPr>
          <w:p>
            <w:pPr>
              <w:spacing w:after="0"/>
              <w:rPr>
                <w:sz w:val="1"/>
                <w:szCs w:val="1"/>
                <w:color w:val="auto"/>
              </w:rPr>
            </w:pPr>
          </w:p>
        </w:tc>
      </w:tr>
      <w:tr>
        <w:trPr>
          <w:trHeight w:val="202"/>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Asset-backed securities</w:t>
            </w:r>
          </w:p>
        </w:tc>
        <w:tc>
          <w:tcPr>
            <w:tcW w:w="920" w:type="dxa"/>
            <w:vAlign w:val="bottom"/>
          </w:tcPr>
          <w:p>
            <w:pPr>
              <w:spacing w:after="0"/>
              <w:rPr>
                <w:sz w:val="17"/>
                <w:szCs w:val="17"/>
                <w:color w:val="auto"/>
              </w:rPr>
            </w:pPr>
          </w:p>
        </w:tc>
        <w:tc>
          <w:tcPr>
            <w:tcW w:w="82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336,557</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336,557</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Commercial mortgage-backed securities</w:t>
            </w:r>
          </w:p>
        </w:tc>
        <w:tc>
          <w:tcPr>
            <w:tcW w:w="920" w:type="dxa"/>
            <w:vAlign w:val="bottom"/>
            <w:shd w:val="clear" w:color="auto" w:fill="E0E7ED"/>
          </w:tcPr>
          <w:p>
            <w:pPr>
              <w:spacing w:after="0"/>
              <w:rPr>
                <w:sz w:val="19"/>
                <w:szCs w:val="19"/>
                <w:color w:val="auto"/>
              </w:rPr>
            </w:pPr>
          </w:p>
        </w:tc>
        <w:tc>
          <w:tcPr>
            <w:tcW w:w="820" w:type="dxa"/>
            <w:vAlign w:val="bottom"/>
            <w:gridSpan w:val="3"/>
            <w:shd w:val="clear" w:color="auto" w:fill="E0E7ED"/>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92,174</w:t>
            </w:r>
          </w:p>
        </w:tc>
        <w:tc>
          <w:tcPr>
            <w:tcW w:w="80" w:type="dxa"/>
            <w:vAlign w:val="bottom"/>
            <w:shd w:val="clear" w:color="auto" w:fill="E0E7ED"/>
          </w:tcPr>
          <w:p>
            <w:pPr>
              <w:spacing w:after="0"/>
              <w:rPr>
                <w:sz w:val="19"/>
                <w:szCs w:val="19"/>
                <w:color w:val="auto"/>
              </w:rPr>
            </w:pPr>
          </w:p>
        </w:tc>
        <w:tc>
          <w:tcPr>
            <w:tcW w:w="1020" w:type="dxa"/>
            <w:vAlign w:val="bottom"/>
            <w:shd w:val="clear" w:color="auto" w:fill="E0E7ED"/>
          </w:tcPr>
          <w:p>
            <w:pPr>
              <w:spacing w:after="0"/>
              <w:rPr>
                <w:sz w:val="19"/>
                <w:szCs w:val="19"/>
                <w:color w:val="auto"/>
              </w:rPr>
            </w:pPr>
          </w:p>
        </w:tc>
        <w:tc>
          <w:tcPr>
            <w:tcW w:w="680" w:type="dxa"/>
            <w:vAlign w:val="bottom"/>
            <w:gridSpan w:val="3"/>
            <w:shd w:val="clear" w:color="auto" w:fill="E0E7ED"/>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92,174</w:t>
            </w:r>
          </w:p>
        </w:tc>
        <w:tc>
          <w:tcPr>
            <w:tcW w:w="0" w:type="dxa"/>
            <w:vAlign w:val="bottom"/>
          </w:tcPr>
          <w:p>
            <w:pPr>
              <w:spacing w:after="0"/>
              <w:rPr>
                <w:sz w:val="1"/>
                <w:szCs w:val="1"/>
                <w:color w:val="auto"/>
              </w:rPr>
            </w:pPr>
          </w:p>
        </w:tc>
      </w:tr>
      <w:tr>
        <w:trPr>
          <w:trHeight w:val="202"/>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Residential mortgage-backed securities</w:t>
            </w:r>
          </w:p>
        </w:tc>
        <w:tc>
          <w:tcPr>
            <w:tcW w:w="920" w:type="dxa"/>
            <w:vAlign w:val="bottom"/>
          </w:tcPr>
          <w:p>
            <w:pPr>
              <w:spacing w:after="0"/>
              <w:rPr>
                <w:sz w:val="17"/>
                <w:szCs w:val="17"/>
                <w:color w:val="auto"/>
              </w:rPr>
            </w:pPr>
          </w:p>
        </w:tc>
        <w:tc>
          <w:tcPr>
            <w:tcW w:w="82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1,087,210</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1,087,210</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Corporate debt securities</w:t>
            </w:r>
          </w:p>
        </w:tc>
        <w:tc>
          <w:tcPr>
            <w:tcW w:w="920" w:type="dxa"/>
            <w:vAlign w:val="bottom"/>
            <w:shd w:val="clear" w:color="auto" w:fill="E0E7ED"/>
          </w:tcPr>
          <w:p>
            <w:pPr>
              <w:spacing w:after="0"/>
              <w:rPr>
                <w:sz w:val="19"/>
                <w:szCs w:val="19"/>
                <w:color w:val="auto"/>
              </w:rPr>
            </w:pPr>
          </w:p>
        </w:tc>
        <w:tc>
          <w:tcPr>
            <w:tcW w:w="820" w:type="dxa"/>
            <w:vAlign w:val="bottom"/>
            <w:gridSpan w:val="3"/>
            <w:shd w:val="clear" w:color="auto" w:fill="E0E7ED"/>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153,051</w:t>
            </w:r>
          </w:p>
        </w:tc>
        <w:tc>
          <w:tcPr>
            <w:tcW w:w="80" w:type="dxa"/>
            <w:vAlign w:val="bottom"/>
            <w:shd w:val="clear" w:color="auto" w:fill="E0E7ED"/>
          </w:tcPr>
          <w:p>
            <w:pPr>
              <w:spacing w:after="0"/>
              <w:rPr>
                <w:sz w:val="19"/>
                <w:szCs w:val="19"/>
                <w:color w:val="auto"/>
              </w:rPr>
            </w:pPr>
          </w:p>
        </w:tc>
        <w:tc>
          <w:tcPr>
            <w:tcW w:w="1020" w:type="dxa"/>
            <w:vAlign w:val="bottom"/>
            <w:shd w:val="clear" w:color="auto" w:fill="E0E7ED"/>
          </w:tcPr>
          <w:p>
            <w:pPr>
              <w:spacing w:after="0"/>
              <w:rPr>
                <w:sz w:val="19"/>
                <w:szCs w:val="19"/>
                <w:color w:val="auto"/>
              </w:rPr>
            </w:pPr>
          </w:p>
        </w:tc>
        <w:tc>
          <w:tcPr>
            <w:tcW w:w="680" w:type="dxa"/>
            <w:vAlign w:val="bottom"/>
            <w:gridSpan w:val="3"/>
            <w:shd w:val="clear" w:color="auto" w:fill="E0E7ED"/>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153,051</w:t>
            </w:r>
          </w:p>
        </w:tc>
        <w:tc>
          <w:tcPr>
            <w:tcW w:w="0" w:type="dxa"/>
            <w:vAlign w:val="bottom"/>
          </w:tcPr>
          <w:p>
            <w:pPr>
              <w:spacing w:after="0"/>
              <w:rPr>
                <w:sz w:val="1"/>
                <w:szCs w:val="1"/>
                <w:color w:val="auto"/>
              </w:rPr>
            </w:pPr>
          </w:p>
        </w:tc>
      </w:tr>
      <w:tr>
        <w:trPr>
          <w:trHeight w:val="202"/>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9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5,567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10,295</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15,862</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Derivative assets</w:t>
            </w:r>
          </w:p>
        </w:tc>
        <w:tc>
          <w:tcPr>
            <w:tcW w:w="920" w:type="dxa"/>
            <w:vAlign w:val="bottom"/>
            <w:shd w:val="clear" w:color="auto" w:fill="E0E7ED"/>
          </w:tcPr>
          <w:p>
            <w:pPr>
              <w:spacing w:after="0"/>
              <w:rPr>
                <w:sz w:val="19"/>
                <w:szCs w:val="19"/>
                <w:color w:val="auto"/>
              </w:rPr>
            </w:pPr>
          </w:p>
        </w:tc>
        <w:tc>
          <w:tcPr>
            <w:tcW w:w="820" w:type="dxa"/>
            <w:vAlign w:val="bottom"/>
            <w:gridSpan w:val="3"/>
            <w:shd w:val="clear" w:color="auto" w:fill="E0E7ED"/>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30,368</w:t>
            </w:r>
          </w:p>
        </w:tc>
        <w:tc>
          <w:tcPr>
            <w:tcW w:w="80" w:type="dxa"/>
            <w:vAlign w:val="bottom"/>
            <w:shd w:val="clear" w:color="auto" w:fill="E0E7ED"/>
          </w:tcPr>
          <w:p>
            <w:pPr>
              <w:spacing w:after="0"/>
              <w:rPr>
                <w:sz w:val="19"/>
                <w:szCs w:val="19"/>
                <w:color w:val="auto"/>
              </w:rPr>
            </w:pPr>
          </w:p>
        </w:tc>
        <w:tc>
          <w:tcPr>
            <w:tcW w:w="1020" w:type="dxa"/>
            <w:vAlign w:val="bottom"/>
            <w:shd w:val="clear" w:color="auto" w:fill="E0E7ED"/>
          </w:tcPr>
          <w:p>
            <w:pPr>
              <w:spacing w:after="0"/>
              <w:rPr>
                <w:sz w:val="19"/>
                <w:szCs w:val="19"/>
                <w:color w:val="auto"/>
              </w:rPr>
            </w:pPr>
          </w:p>
        </w:tc>
        <w:tc>
          <w:tcPr>
            <w:tcW w:w="3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30,373</w:t>
            </w:r>
          </w:p>
        </w:tc>
        <w:tc>
          <w:tcPr>
            <w:tcW w:w="0" w:type="dxa"/>
            <w:vAlign w:val="bottom"/>
          </w:tcPr>
          <w:p>
            <w:pPr>
              <w:spacing w:after="0"/>
              <w:rPr>
                <w:sz w:val="1"/>
                <w:szCs w:val="1"/>
                <w:color w:val="auto"/>
              </w:rPr>
            </w:pPr>
          </w:p>
        </w:tc>
      </w:tr>
      <w:tr>
        <w:trPr>
          <w:trHeight w:val="193"/>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Derivative liabilities</w:t>
            </w:r>
          </w:p>
        </w:tc>
        <w:tc>
          <w:tcPr>
            <w:tcW w:w="920" w:type="dxa"/>
            <w:vAlign w:val="bottom"/>
          </w:tcPr>
          <w:p>
            <w:pPr>
              <w:spacing w:after="0"/>
              <w:rPr>
                <w:sz w:val="16"/>
                <w:szCs w:val="16"/>
                <w:color w:val="auto"/>
              </w:rPr>
            </w:pPr>
          </w:p>
        </w:tc>
        <w:tc>
          <w:tcPr>
            <w:tcW w:w="82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58,099</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58,099</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Activity for risk participation agreements, which are financial assets measured at estimated fair value on a recurring basis using Level 3, is summarized in the tables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678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60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Location</w:t>
            </w:r>
          </w:p>
        </w:tc>
        <w:tc>
          <w:tcPr>
            <w:tcW w:w="8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2024</w:t>
            </w:r>
          </w:p>
        </w:tc>
      </w:tr>
      <w:tr>
        <w:trPr>
          <w:trHeight w:val="203"/>
        </w:trPr>
        <w:tc>
          <w:tcPr>
            <w:tcW w:w="67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Beginning Balance</w:t>
            </w:r>
          </w:p>
        </w:tc>
        <w:tc>
          <w:tcPr>
            <w:tcW w:w="2000" w:type="dxa"/>
            <w:vAlign w:val="bottom"/>
            <w:gridSpan w:val="3"/>
            <w:shd w:val="clear" w:color="auto" w:fill="E0E7ED"/>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w:t>
            </w:r>
          </w:p>
        </w:tc>
      </w:tr>
      <w:tr>
        <w:trPr>
          <w:trHeight w:val="202"/>
        </w:trPr>
        <w:tc>
          <w:tcPr>
            <w:tcW w:w="6780" w:type="dxa"/>
            <w:vAlign w:val="bottom"/>
          </w:tcPr>
          <w:p>
            <w:pPr>
              <w:ind w:left="140"/>
              <w:spacing w:after="0"/>
              <w:rPr>
                <w:sz w:val="20"/>
                <w:szCs w:val="20"/>
                <w:color w:val="auto"/>
              </w:rPr>
            </w:pPr>
            <w:r>
              <w:rPr>
                <w:rFonts w:ascii="Arial" w:cs="Arial" w:eastAsia="Arial" w:hAnsi="Arial"/>
                <w:sz w:val="14"/>
                <w:szCs w:val="14"/>
                <w:color w:val="auto"/>
              </w:rPr>
              <w:t>Gains (losses) recognized in earnings</w:t>
            </w:r>
          </w:p>
        </w:tc>
        <w:tc>
          <w:tcPr>
            <w:tcW w:w="2000" w:type="dxa"/>
            <w:vAlign w:val="bottom"/>
            <w:gridSpan w:val="3"/>
          </w:tcPr>
          <w:p>
            <w:pPr>
              <w:jc w:val="right"/>
              <w:ind w:right="1060"/>
              <w:spacing w:after="0"/>
              <w:rPr>
                <w:sz w:val="20"/>
                <w:szCs w:val="20"/>
                <w:color w:val="auto"/>
              </w:rPr>
            </w:pPr>
            <w:r>
              <w:rPr>
                <w:rFonts w:ascii="Arial" w:cs="Arial" w:eastAsia="Arial" w:hAnsi="Arial"/>
                <w:sz w:val="14"/>
                <w:szCs w:val="14"/>
                <w:color w:val="auto"/>
              </w:rPr>
              <w:t>Other expense</w:t>
            </w: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22"/>
        </w:trPr>
        <w:tc>
          <w:tcPr>
            <w:tcW w:w="67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Purchases</w:t>
            </w:r>
          </w:p>
        </w:tc>
        <w:tc>
          <w:tcPr>
            <w:tcW w:w="160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14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678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Assumed in acquisition</w:t>
            </w:r>
          </w:p>
        </w:tc>
        <w:tc>
          <w:tcPr>
            <w:tcW w:w="1600" w:type="dxa"/>
            <w:vAlign w:val="bottom"/>
            <w:tcBorders>
              <w:bottom w:val="single" w:sz="8" w:color="E0E7ED"/>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67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Ending Balance</w:t>
            </w:r>
          </w:p>
        </w:tc>
        <w:tc>
          <w:tcPr>
            <w:tcW w:w="2000" w:type="dxa"/>
            <w:vAlign w:val="bottom"/>
            <w:gridSpan w:val="3"/>
            <w:shd w:val="clear" w:color="auto" w:fill="E0E7ED"/>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w:t>
            </w:r>
          </w:p>
        </w:tc>
      </w:tr>
      <w:tr>
        <w:trPr>
          <w:trHeight w:val="20"/>
        </w:trPr>
        <w:tc>
          <w:tcPr>
            <w:tcW w:w="678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and Liabilities Measured at Fair Value on a Nonrecurring Basis</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Certain financial assets and financial liabilities are measured at estimated fair value on a non-recurring basis; that is, the instruments are not measured at estimated fair value on an ongoing basis but are subject to fair value adjustments in certain circumstances (for example, when there is evidence of impairment).</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Loans Evaluated Individually</w:t>
      </w:r>
    </w:p>
    <w:p>
      <w:pPr>
        <w:spacing w:after="0" w:line="1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Busey does not record portfolio loans at estimated fair value on a recurring basis. However, periodically, a loan is evaluated individually and is reported at the estimated fair value of the underlying collateral, less estimated costs to sell, if repayment is expected solely from the collateral. If the estimated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Bank Property Held for Sale</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Bank property held for sale represents certain banking center office buildings which Busey has closed and consolidated with other existing banking centers. Bank property held for sale is measured at the lower of amortized cost or estimated fair value less estimated costs to sell. Fair value estimates were based upon discounted appraisals or real estate listing prices. Due to the significance of unobservable inputs, estimated fair values of all bank property held for sale have been classified as Level 3. Bank property held for sale is included in premises and equipment, net on Busey’s </w:t>
      </w:r>
      <w:r>
        <w:rPr>
          <w:rFonts w:ascii="Arial" w:cs="Arial" w:eastAsia="Arial" w:hAnsi="Arial"/>
          <w:sz w:val="14"/>
          <w:szCs w:val="14"/>
          <w:u w:val="single" w:color="auto"/>
          <w:color w:val="0000FF"/>
        </w:rPr>
        <w:t>Consolidated Balance Sheets (Unaudited)</w:t>
      </w:r>
      <w:r>
        <w:rPr>
          <w:rFonts w:ascii="Arial" w:cs="Arial" w:eastAsia="Arial" w:hAnsi="Arial"/>
          <w:sz w:val="14"/>
          <w:szCs w:val="14"/>
          <w:color w:val="auto"/>
        </w:rPr>
        <w:t>.</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financial assets and financial liabilities measured at estimated fair value on a non-recurring basis: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1"/>
                <w:szCs w:val="11"/>
                <w:b w:val="1"/>
                <w:bCs w:val="1"/>
                <w:color w:val="auto"/>
              </w:rPr>
              <w:t>As of March 31, 2025</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4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vMerge w:val="restart"/>
          </w:tcPr>
          <w:p>
            <w:pPr>
              <w:spacing w:after="0"/>
              <w:rPr>
                <w:sz w:val="9"/>
                <w:szCs w:val="9"/>
                <w:color w:val="auto"/>
              </w:rPr>
            </w:pPr>
          </w:p>
        </w:tc>
        <w:tc>
          <w:tcPr>
            <w:tcW w:w="1020" w:type="dxa"/>
            <w:vAlign w:val="bottom"/>
          </w:tcPr>
          <w:p>
            <w:pPr>
              <w:jc w:val="center"/>
              <w:ind w:left="299"/>
              <w:spacing w:after="0" w:line="107" w:lineRule="exact"/>
              <w:rPr>
                <w:sz w:val="20"/>
                <w:szCs w:val="20"/>
                <w:color w:val="auto"/>
              </w:rPr>
            </w:pPr>
            <w:r>
              <w:rPr>
                <w:rFonts w:ascii="Arial" w:cs="Arial" w:eastAsia="Arial" w:hAnsi="Arial"/>
                <w:sz w:val="11"/>
                <w:szCs w:val="11"/>
                <w:b w:val="1"/>
                <w:bCs w:val="1"/>
                <w:color w:val="auto"/>
              </w:rPr>
              <w:t>Level 1</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left="300"/>
              <w:spacing w:after="0" w:line="107" w:lineRule="exact"/>
              <w:rPr>
                <w:sz w:val="20"/>
                <w:szCs w:val="20"/>
                <w:color w:val="auto"/>
              </w:rPr>
            </w:pPr>
            <w:r>
              <w:rPr>
                <w:rFonts w:ascii="Arial" w:cs="Arial" w:eastAsia="Arial" w:hAnsi="Arial"/>
                <w:sz w:val="11"/>
                <w:szCs w:val="11"/>
                <w:b w:val="1"/>
                <w:bCs w:val="1"/>
                <w:color w:val="auto"/>
              </w:rPr>
              <w:t>Level 2</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center"/>
              <w:ind w:left="439"/>
              <w:spacing w:after="0" w:line="107" w:lineRule="exact"/>
              <w:rPr>
                <w:sz w:val="20"/>
                <w:szCs w:val="20"/>
                <w:color w:val="auto"/>
              </w:rPr>
            </w:pPr>
            <w:r>
              <w:rPr>
                <w:rFonts w:ascii="Arial" w:cs="Arial" w:eastAsia="Arial" w:hAnsi="Arial"/>
                <w:sz w:val="11"/>
                <w:szCs w:val="11"/>
                <w:b w:val="1"/>
                <w:bCs w:val="1"/>
                <w:color w:val="auto"/>
              </w:rPr>
              <w:t>Level 3</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jc w:val="center"/>
              <w:ind w:right="196"/>
              <w:spacing w:after="0" w:line="107"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38"/>
        </w:trPr>
        <w:tc>
          <w:tcPr>
            <w:tcW w:w="5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1020" w:type="dxa"/>
            <w:vAlign w:val="bottom"/>
            <w:tcBorders>
              <w:bottom w:val="single" w:sz="8" w:color="auto"/>
            </w:tcBorders>
          </w:tcPr>
          <w:p>
            <w:pPr>
              <w:jc w:val="center"/>
              <w:ind w:left="299"/>
              <w:spacing w:after="0"/>
              <w:rPr>
                <w:sz w:val="20"/>
                <w:szCs w:val="20"/>
                <w:color w:val="auto"/>
              </w:rPr>
            </w:pPr>
            <w:r>
              <w:rPr>
                <w:rFonts w:ascii="Arial" w:cs="Arial" w:eastAsia="Arial" w:hAnsi="Arial"/>
                <w:sz w:val="11"/>
                <w:szCs w:val="11"/>
                <w:b w:val="1"/>
                <w:bCs w:val="1"/>
                <w:color w:val="auto"/>
              </w:rPr>
              <w:t>Inputs</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020" w:type="dxa"/>
            <w:vAlign w:val="bottom"/>
            <w:tcBorders>
              <w:bottom w:val="single" w:sz="8" w:color="auto"/>
            </w:tcBorders>
          </w:tcPr>
          <w:p>
            <w:pPr>
              <w:jc w:val="center"/>
              <w:ind w:left="300"/>
              <w:spacing w:after="0"/>
              <w:rPr>
                <w:sz w:val="20"/>
                <w:szCs w:val="20"/>
                <w:color w:val="auto"/>
              </w:rPr>
            </w:pPr>
            <w:r>
              <w:rPr>
                <w:rFonts w:ascii="Arial" w:cs="Arial" w:eastAsia="Arial" w:hAnsi="Arial"/>
                <w:sz w:val="11"/>
                <w:szCs w:val="11"/>
                <w:b w:val="1"/>
                <w:bCs w:val="1"/>
                <w:color w:val="auto"/>
              </w:rPr>
              <w:t>Inputs</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880" w:type="dxa"/>
            <w:vAlign w:val="bottom"/>
            <w:tcBorders>
              <w:bottom w:val="single" w:sz="8" w:color="auto"/>
            </w:tcBorders>
          </w:tcPr>
          <w:p>
            <w:pPr>
              <w:jc w:val="center"/>
              <w:ind w:left="439"/>
              <w:spacing w:after="0"/>
              <w:rPr>
                <w:sz w:val="20"/>
                <w:szCs w:val="20"/>
                <w:color w:val="auto"/>
              </w:rPr>
            </w:pPr>
            <w:r>
              <w:rPr>
                <w:rFonts w:ascii="Arial" w:cs="Arial" w:eastAsia="Arial" w:hAnsi="Arial"/>
                <w:sz w:val="11"/>
                <w:szCs w:val="11"/>
                <w:b w:val="1"/>
                <w:bCs w:val="1"/>
                <w:color w:val="auto"/>
              </w:rPr>
              <w:t>Inputs</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203"/>
        </w:trPr>
        <w:tc>
          <w:tcPr>
            <w:tcW w:w="556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Loans evaluated individually, net of related allowance</w:t>
            </w:r>
          </w:p>
        </w:tc>
        <w:tc>
          <w:tcPr>
            <w:tcW w:w="1020" w:type="dxa"/>
            <w:vAlign w:val="bottom"/>
            <w:shd w:val="clear" w:color="auto" w:fill="E0E7ED"/>
          </w:tcPr>
          <w:p>
            <w:pPr>
              <w:jc w:val="right"/>
              <w:ind w:right="859"/>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0E7ED"/>
          </w:tcPr>
          <w:p>
            <w:pPr>
              <w:jc w:val="right"/>
              <w:ind w:right="86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E0E7ED"/>
          </w:tcPr>
          <w:p>
            <w:pPr>
              <w:ind w:lef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E0E7ED"/>
          </w:tcPr>
          <w:p>
            <w:pPr>
              <w:jc w:val="right"/>
              <w:ind w:right="719"/>
              <w:spacing w:after="0"/>
              <w:rPr>
                <w:sz w:val="20"/>
                <w:szCs w:val="20"/>
                <w:color w:val="auto"/>
              </w:rPr>
            </w:pPr>
            <w:r>
              <w:rPr>
                <w:rFonts w:ascii="Arial" w:cs="Arial" w:eastAsia="Arial" w:hAnsi="Arial"/>
                <w:sz w:val="14"/>
                <w:szCs w:val="14"/>
                <w:color w:val="auto"/>
              </w:rPr>
              <w:t>$</w:t>
            </w:r>
          </w:p>
        </w:tc>
        <w:tc>
          <w:tcPr>
            <w:tcW w:w="480" w:type="dxa"/>
            <w:vAlign w:val="bottom"/>
            <w:shd w:val="clear" w:color="auto" w:fill="E0E7ED"/>
          </w:tcPr>
          <w:p>
            <w:pPr>
              <w:jc w:val="right"/>
              <w:spacing w:after="0"/>
              <w:rPr>
                <w:sz w:val="20"/>
                <w:szCs w:val="20"/>
                <w:color w:val="auto"/>
              </w:rPr>
            </w:pPr>
            <w:r>
              <w:rPr>
                <w:rFonts w:ascii="Arial" w:cs="Arial" w:eastAsia="Arial" w:hAnsi="Arial"/>
                <w:sz w:val="14"/>
                <w:szCs w:val="14"/>
                <w:color w:val="auto"/>
                <w:w w:val="93"/>
              </w:rPr>
              <w:t>21,440</w:t>
            </w:r>
          </w:p>
        </w:tc>
        <w:tc>
          <w:tcPr>
            <w:tcW w:w="100" w:type="dxa"/>
            <w:vAlign w:val="bottom"/>
            <w:shd w:val="clear" w:color="auto" w:fill="E0E7ED"/>
          </w:tcPr>
          <w:p>
            <w:pPr>
              <w:spacing w:after="0"/>
              <w:rPr>
                <w:sz w:val="17"/>
                <w:szCs w:val="17"/>
                <w:color w:val="auto"/>
              </w:rPr>
            </w:pPr>
          </w:p>
        </w:tc>
        <w:tc>
          <w:tcPr>
            <w:tcW w:w="24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21,440</w:t>
            </w:r>
          </w:p>
        </w:tc>
        <w:tc>
          <w:tcPr>
            <w:tcW w:w="0" w:type="dxa"/>
            <w:vAlign w:val="bottom"/>
          </w:tcPr>
          <w:p>
            <w:pPr>
              <w:spacing w:after="0"/>
              <w:rPr>
                <w:sz w:val="1"/>
                <w:szCs w:val="1"/>
                <w:color w:val="auto"/>
              </w:rPr>
            </w:pPr>
          </w:p>
        </w:tc>
      </w:tr>
      <w:tr>
        <w:trPr>
          <w:trHeight w:val="193"/>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Bank property held for sale with impairment</w:t>
            </w:r>
          </w:p>
        </w:tc>
        <w:tc>
          <w:tcPr>
            <w:tcW w:w="102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6"/>
                <w:szCs w:val="16"/>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2,653</w:t>
            </w:r>
          </w:p>
        </w:tc>
        <w:tc>
          <w:tcPr>
            <w:tcW w:w="0" w:type="dxa"/>
            <w:vAlign w:val="bottom"/>
          </w:tcPr>
          <w:p>
            <w:pPr>
              <w:spacing w:after="0"/>
              <w:rPr>
                <w:sz w:val="1"/>
                <w:szCs w:val="1"/>
                <w:color w:val="auto"/>
              </w:rPr>
            </w:pPr>
          </w:p>
        </w:tc>
      </w:tr>
      <w:tr>
        <w:trPr>
          <w:trHeight w:val="433"/>
        </w:trPr>
        <w:tc>
          <w:tcPr>
            <w:tcW w:w="5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1"/>
                <w:szCs w:val="11"/>
                <w:b w:val="1"/>
                <w:bCs w:val="1"/>
                <w:color w:val="auto"/>
              </w:rPr>
              <w:t>As of December 31, 2024</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4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vMerge w:val="restart"/>
          </w:tcPr>
          <w:p>
            <w:pPr>
              <w:spacing w:after="0"/>
              <w:rPr>
                <w:sz w:val="9"/>
                <w:szCs w:val="9"/>
                <w:color w:val="auto"/>
              </w:rPr>
            </w:pPr>
          </w:p>
        </w:tc>
        <w:tc>
          <w:tcPr>
            <w:tcW w:w="1020" w:type="dxa"/>
            <w:vAlign w:val="bottom"/>
          </w:tcPr>
          <w:p>
            <w:pPr>
              <w:jc w:val="center"/>
              <w:ind w:left="299"/>
              <w:spacing w:after="0" w:line="107" w:lineRule="exact"/>
              <w:rPr>
                <w:sz w:val="20"/>
                <w:szCs w:val="20"/>
                <w:color w:val="auto"/>
              </w:rPr>
            </w:pPr>
            <w:r>
              <w:rPr>
                <w:rFonts w:ascii="Arial" w:cs="Arial" w:eastAsia="Arial" w:hAnsi="Arial"/>
                <w:sz w:val="11"/>
                <w:szCs w:val="11"/>
                <w:b w:val="1"/>
                <w:bCs w:val="1"/>
                <w:color w:val="auto"/>
              </w:rPr>
              <w:t>Level 1</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left="300"/>
              <w:spacing w:after="0" w:line="107" w:lineRule="exact"/>
              <w:rPr>
                <w:sz w:val="20"/>
                <w:szCs w:val="20"/>
                <w:color w:val="auto"/>
              </w:rPr>
            </w:pPr>
            <w:r>
              <w:rPr>
                <w:rFonts w:ascii="Arial" w:cs="Arial" w:eastAsia="Arial" w:hAnsi="Arial"/>
                <w:sz w:val="11"/>
                <w:szCs w:val="11"/>
                <w:b w:val="1"/>
                <w:bCs w:val="1"/>
                <w:color w:val="auto"/>
              </w:rPr>
              <w:t>Level 2</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center"/>
              <w:ind w:left="439"/>
              <w:spacing w:after="0" w:line="107" w:lineRule="exact"/>
              <w:rPr>
                <w:sz w:val="20"/>
                <w:szCs w:val="20"/>
                <w:color w:val="auto"/>
              </w:rPr>
            </w:pPr>
            <w:r>
              <w:rPr>
                <w:rFonts w:ascii="Arial" w:cs="Arial" w:eastAsia="Arial" w:hAnsi="Arial"/>
                <w:sz w:val="11"/>
                <w:szCs w:val="11"/>
                <w:b w:val="1"/>
                <w:bCs w:val="1"/>
                <w:color w:val="auto"/>
              </w:rPr>
              <w:t>Level 3</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jc w:val="center"/>
              <w:ind w:right="196"/>
              <w:spacing w:after="0" w:line="107"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38"/>
        </w:trPr>
        <w:tc>
          <w:tcPr>
            <w:tcW w:w="5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1020" w:type="dxa"/>
            <w:vAlign w:val="bottom"/>
            <w:tcBorders>
              <w:bottom w:val="single" w:sz="8" w:color="auto"/>
            </w:tcBorders>
          </w:tcPr>
          <w:p>
            <w:pPr>
              <w:jc w:val="center"/>
              <w:ind w:left="299"/>
              <w:spacing w:after="0"/>
              <w:rPr>
                <w:sz w:val="20"/>
                <w:szCs w:val="20"/>
                <w:color w:val="auto"/>
              </w:rPr>
            </w:pPr>
            <w:r>
              <w:rPr>
                <w:rFonts w:ascii="Arial" w:cs="Arial" w:eastAsia="Arial" w:hAnsi="Arial"/>
                <w:sz w:val="11"/>
                <w:szCs w:val="11"/>
                <w:b w:val="1"/>
                <w:bCs w:val="1"/>
                <w:color w:val="auto"/>
              </w:rPr>
              <w:t>Inputs</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020" w:type="dxa"/>
            <w:vAlign w:val="bottom"/>
            <w:tcBorders>
              <w:bottom w:val="single" w:sz="8" w:color="auto"/>
            </w:tcBorders>
          </w:tcPr>
          <w:p>
            <w:pPr>
              <w:jc w:val="center"/>
              <w:ind w:left="300"/>
              <w:spacing w:after="0"/>
              <w:rPr>
                <w:sz w:val="20"/>
                <w:szCs w:val="20"/>
                <w:color w:val="auto"/>
              </w:rPr>
            </w:pPr>
            <w:r>
              <w:rPr>
                <w:rFonts w:ascii="Arial" w:cs="Arial" w:eastAsia="Arial" w:hAnsi="Arial"/>
                <w:sz w:val="11"/>
                <w:szCs w:val="11"/>
                <w:b w:val="1"/>
                <w:bCs w:val="1"/>
                <w:color w:val="auto"/>
              </w:rPr>
              <w:t>Inputs</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880" w:type="dxa"/>
            <w:vAlign w:val="bottom"/>
            <w:tcBorders>
              <w:bottom w:val="single" w:sz="8" w:color="auto"/>
            </w:tcBorders>
          </w:tcPr>
          <w:p>
            <w:pPr>
              <w:jc w:val="center"/>
              <w:ind w:left="439"/>
              <w:spacing w:after="0"/>
              <w:rPr>
                <w:sz w:val="20"/>
                <w:szCs w:val="20"/>
                <w:color w:val="auto"/>
              </w:rPr>
            </w:pPr>
            <w:r>
              <w:rPr>
                <w:rFonts w:ascii="Arial" w:cs="Arial" w:eastAsia="Arial" w:hAnsi="Arial"/>
                <w:sz w:val="11"/>
                <w:szCs w:val="11"/>
                <w:b w:val="1"/>
                <w:bCs w:val="1"/>
                <w:color w:val="auto"/>
              </w:rPr>
              <w:t>Inputs</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203"/>
        </w:trPr>
        <w:tc>
          <w:tcPr>
            <w:tcW w:w="556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Loans evaluated individually, net of related allowance</w:t>
            </w:r>
          </w:p>
        </w:tc>
        <w:tc>
          <w:tcPr>
            <w:tcW w:w="1020" w:type="dxa"/>
            <w:vAlign w:val="bottom"/>
            <w:shd w:val="clear" w:color="auto" w:fill="E0E7ED"/>
          </w:tcPr>
          <w:p>
            <w:pPr>
              <w:jc w:val="right"/>
              <w:ind w:right="859"/>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0E7ED"/>
          </w:tcPr>
          <w:p>
            <w:pPr>
              <w:jc w:val="right"/>
              <w:ind w:right="86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E0E7ED"/>
          </w:tcPr>
          <w:p>
            <w:pPr>
              <w:ind w:lef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E0E7ED"/>
          </w:tcPr>
          <w:p>
            <w:pPr>
              <w:jc w:val="right"/>
              <w:ind w:right="719"/>
              <w:spacing w:after="0"/>
              <w:rPr>
                <w:sz w:val="20"/>
                <w:szCs w:val="20"/>
                <w:color w:val="auto"/>
              </w:rPr>
            </w:pPr>
            <w:r>
              <w:rPr>
                <w:rFonts w:ascii="Arial" w:cs="Arial" w:eastAsia="Arial" w:hAnsi="Arial"/>
                <w:sz w:val="14"/>
                <w:szCs w:val="14"/>
                <w:color w:val="auto"/>
              </w:rPr>
              <w:t>$</w:t>
            </w:r>
          </w:p>
        </w:tc>
        <w:tc>
          <w:tcPr>
            <w:tcW w:w="4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E0E7ED"/>
          </w:tcPr>
          <w:p>
            <w:pPr>
              <w:spacing w:after="0"/>
              <w:rPr>
                <w:sz w:val="17"/>
                <w:szCs w:val="17"/>
                <w:color w:val="auto"/>
              </w:rPr>
            </w:pPr>
          </w:p>
        </w:tc>
        <w:tc>
          <w:tcPr>
            <w:tcW w:w="24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93"/>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Bank property held for sale with impairment</w:t>
            </w:r>
          </w:p>
        </w:tc>
        <w:tc>
          <w:tcPr>
            <w:tcW w:w="102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6"/>
                <w:szCs w:val="16"/>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2,841</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additional quantitative information about assets measured at estimated fair value on a non-recurring basis using Level 3 inputs: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As of March 31, 2025</w:t>
            </w:r>
          </w:p>
        </w:tc>
        <w:tc>
          <w:tcPr>
            <w:tcW w:w="1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880" w:type="dxa"/>
            <w:vAlign w:val="bottom"/>
            <w:vMerge w:val="restart"/>
          </w:tcPr>
          <w:p>
            <w:pPr>
              <w:spacing w:after="0"/>
              <w:rPr>
                <w:sz w:val="20"/>
                <w:szCs w:val="20"/>
                <w:color w:val="auto"/>
              </w:rPr>
            </w:pPr>
            <w:r>
              <w:rPr>
                <w:rFonts w:ascii="Arial" w:cs="Arial" w:eastAsia="Arial" w:hAnsi="Arial"/>
                <w:sz w:val="11"/>
                <w:szCs w:val="11"/>
                <w:i w:val="1"/>
                <w:iCs w:val="1"/>
                <w:color w:val="auto"/>
              </w:rPr>
              <w:t>(dollars in thousands)</w:t>
            </w:r>
          </w:p>
        </w:tc>
        <w:tc>
          <w:tcPr>
            <w:tcW w:w="15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Fair Value</w:t>
            </w:r>
          </w:p>
        </w:tc>
        <w:tc>
          <w:tcPr>
            <w:tcW w:w="1460" w:type="dxa"/>
            <w:vAlign w:val="bottom"/>
          </w:tcPr>
          <w:p>
            <w:pPr>
              <w:jc w:val="center"/>
              <w:ind w:left="463"/>
              <w:spacing w:after="0" w:line="107" w:lineRule="exact"/>
              <w:rPr>
                <w:sz w:val="20"/>
                <w:szCs w:val="20"/>
                <w:color w:val="auto"/>
              </w:rPr>
            </w:pPr>
            <w:r>
              <w:rPr>
                <w:rFonts w:ascii="Arial" w:cs="Arial" w:eastAsia="Arial" w:hAnsi="Arial"/>
                <w:sz w:val="11"/>
                <w:szCs w:val="11"/>
                <w:b w:val="1"/>
                <w:bCs w:val="1"/>
                <w:color w:val="auto"/>
              </w:rPr>
              <w:t>Valuation</w:t>
            </w:r>
          </w:p>
        </w:tc>
        <w:tc>
          <w:tcPr>
            <w:tcW w:w="2460" w:type="dxa"/>
            <w:vAlign w:val="bottom"/>
          </w:tcPr>
          <w:p>
            <w:pPr>
              <w:jc w:val="center"/>
              <w:ind w:left="783"/>
              <w:spacing w:after="0" w:line="107" w:lineRule="exact"/>
              <w:rPr>
                <w:sz w:val="20"/>
                <w:szCs w:val="20"/>
                <w:color w:val="auto"/>
              </w:rPr>
            </w:pPr>
            <w:r>
              <w:rPr>
                <w:rFonts w:ascii="Arial" w:cs="Arial" w:eastAsia="Arial" w:hAnsi="Arial"/>
                <w:sz w:val="11"/>
                <w:szCs w:val="11"/>
                <w:b w:val="1"/>
                <w:bCs w:val="1"/>
                <w:color w:val="auto"/>
              </w:rPr>
              <w:t>Unobservable</w:t>
            </w:r>
          </w:p>
        </w:tc>
        <w:tc>
          <w:tcPr>
            <w:tcW w:w="19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Range</w:t>
            </w:r>
          </w:p>
        </w:tc>
        <w:tc>
          <w:tcPr>
            <w:tcW w:w="0" w:type="dxa"/>
            <w:vAlign w:val="bottom"/>
          </w:tcPr>
          <w:p>
            <w:pPr>
              <w:spacing w:after="0"/>
              <w:rPr>
                <w:sz w:val="1"/>
                <w:szCs w:val="1"/>
                <w:color w:val="auto"/>
              </w:rPr>
            </w:pPr>
          </w:p>
        </w:tc>
      </w:tr>
      <w:tr>
        <w:trPr>
          <w:trHeight w:val="138"/>
        </w:trPr>
        <w:tc>
          <w:tcPr>
            <w:tcW w:w="388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460" w:type="dxa"/>
            <w:vAlign w:val="bottom"/>
          </w:tcPr>
          <w:p>
            <w:pPr>
              <w:jc w:val="center"/>
              <w:ind w:left="463"/>
              <w:spacing w:after="0"/>
              <w:rPr>
                <w:sz w:val="20"/>
                <w:szCs w:val="20"/>
                <w:color w:val="auto"/>
              </w:rPr>
            </w:pPr>
            <w:r>
              <w:rPr>
                <w:rFonts w:ascii="Arial" w:cs="Arial" w:eastAsia="Arial" w:hAnsi="Arial"/>
                <w:sz w:val="11"/>
                <w:szCs w:val="11"/>
                <w:b w:val="1"/>
                <w:bCs w:val="1"/>
                <w:color w:val="auto"/>
              </w:rPr>
              <w:t>Techniques</w:t>
            </w:r>
          </w:p>
        </w:tc>
        <w:tc>
          <w:tcPr>
            <w:tcW w:w="2460" w:type="dxa"/>
            <w:vAlign w:val="bottom"/>
          </w:tcPr>
          <w:p>
            <w:pPr>
              <w:jc w:val="center"/>
              <w:ind w:left="763"/>
              <w:spacing w:after="0"/>
              <w:rPr>
                <w:sz w:val="20"/>
                <w:szCs w:val="20"/>
                <w:color w:val="auto"/>
              </w:rPr>
            </w:pPr>
            <w:r>
              <w:rPr>
                <w:rFonts w:ascii="Arial" w:cs="Arial" w:eastAsia="Arial" w:hAnsi="Arial"/>
                <w:sz w:val="11"/>
                <w:szCs w:val="11"/>
                <w:b w:val="1"/>
                <w:bCs w:val="1"/>
                <w:color w:val="auto"/>
              </w:rPr>
              <w:t>Input</w:t>
            </w:r>
          </w:p>
        </w:tc>
        <w:tc>
          <w:tcPr>
            <w:tcW w:w="1940" w:type="dxa"/>
            <w:vAlign w:val="bottom"/>
          </w:tcPr>
          <w:p>
            <w:pPr>
              <w:jc w:val="center"/>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Borders>
              <w:top w:val="single" w:sz="8" w:color="auto"/>
            </w:tcBorders>
            <w:shd w:val="clear" w:color="auto" w:fill="E0E7ED"/>
          </w:tcPr>
          <w:p>
            <w:pPr>
              <w:ind w:left="20"/>
              <w:spacing w:after="0"/>
              <w:rPr>
                <w:sz w:val="20"/>
                <w:szCs w:val="20"/>
                <w:color w:val="auto"/>
              </w:rPr>
            </w:pPr>
            <w:r>
              <w:rPr>
                <w:rFonts w:ascii="Arial" w:cs="Arial" w:eastAsia="Arial" w:hAnsi="Arial"/>
                <w:sz w:val="14"/>
                <w:szCs w:val="14"/>
                <w:color w:val="auto"/>
              </w:rPr>
              <w:t>Loans evaluated individually, net of related allowance</w:t>
            </w:r>
          </w:p>
        </w:tc>
        <w:tc>
          <w:tcPr>
            <w:tcW w:w="8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21,440</w:t>
            </w:r>
          </w:p>
        </w:tc>
        <w:tc>
          <w:tcPr>
            <w:tcW w:w="80" w:type="dxa"/>
            <w:vAlign w:val="bottom"/>
            <w:tcBorders>
              <w:top w:val="single" w:sz="8" w:color="E0E7ED"/>
            </w:tcBorders>
            <w:shd w:val="clear" w:color="auto" w:fill="E0E7ED"/>
          </w:tcPr>
          <w:p>
            <w:pPr>
              <w:spacing w:after="0"/>
              <w:rPr>
                <w:sz w:val="14"/>
                <w:szCs w:val="14"/>
                <w:color w:val="auto"/>
              </w:rPr>
            </w:pPr>
          </w:p>
        </w:tc>
        <w:tc>
          <w:tcPr>
            <w:tcW w:w="2580" w:type="dxa"/>
            <w:vAlign w:val="bottom"/>
            <w:tcBorders>
              <w:top w:val="single" w:sz="8" w:color="auto"/>
            </w:tcBorders>
            <w:shd w:val="clear" w:color="auto" w:fill="E0E7ED"/>
          </w:tcPr>
          <w:p>
            <w:pPr>
              <w:jc w:val="center"/>
              <w:spacing w:after="0"/>
              <w:rPr>
                <w:sz w:val="20"/>
                <w:szCs w:val="20"/>
                <w:color w:val="auto"/>
              </w:rPr>
            </w:pPr>
            <w:r>
              <w:rPr>
                <w:rFonts w:ascii="Arial" w:cs="Arial" w:eastAsia="Arial" w:hAnsi="Arial"/>
                <w:sz w:val="14"/>
                <w:szCs w:val="14"/>
                <w:color w:val="auto"/>
              </w:rPr>
              <w:t>Appraisal of collateral</w:t>
            </w:r>
          </w:p>
        </w:tc>
        <w:tc>
          <w:tcPr>
            <w:tcW w:w="80" w:type="dxa"/>
            <w:vAlign w:val="bottom"/>
            <w:tcBorders>
              <w:top w:val="single" w:sz="8" w:color="E0E7ED"/>
            </w:tcBorders>
            <w:shd w:val="clear" w:color="auto" w:fill="E0E7ED"/>
          </w:tcPr>
          <w:p>
            <w:pPr>
              <w:spacing w:after="0"/>
              <w:rPr>
                <w:sz w:val="14"/>
                <w:szCs w:val="14"/>
                <w:color w:val="auto"/>
              </w:rPr>
            </w:pPr>
          </w:p>
        </w:tc>
        <w:tc>
          <w:tcPr>
            <w:tcW w:w="1480" w:type="dxa"/>
            <w:vAlign w:val="bottom"/>
            <w:tcBorders>
              <w:top w:val="single" w:sz="8" w:color="auto"/>
            </w:tcBorders>
            <w:shd w:val="clear" w:color="auto" w:fill="E0E7ED"/>
          </w:tcPr>
          <w:p>
            <w:pPr>
              <w:jc w:val="center"/>
              <w:spacing w:after="0"/>
              <w:rPr>
                <w:sz w:val="20"/>
                <w:szCs w:val="20"/>
                <w:color w:val="auto"/>
              </w:rPr>
            </w:pPr>
            <w:r>
              <w:rPr>
                <w:rFonts w:ascii="Arial" w:cs="Arial" w:eastAsia="Arial" w:hAnsi="Arial"/>
                <w:sz w:val="14"/>
                <w:szCs w:val="14"/>
                <w:color w:val="auto"/>
              </w:rPr>
              <w:t>Appraisal adjustments</w:t>
            </w:r>
          </w:p>
        </w:tc>
        <w:tc>
          <w:tcPr>
            <w:tcW w:w="100" w:type="dxa"/>
            <w:vAlign w:val="bottom"/>
            <w:tcBorders>
              <w:top w:val="single" w:sz="8" w:color="E0E7ED"/>
            </w:tcBorders>
            <w:shd w:val="clear" w:color="auto" w:fill="E0E7ED"/>
          </w:tcPr>
          <w:p>
            <w:pPr>
              <w:spacing w:after="0"/>
              <w:rPr>
                <w:sz w:val="14"/>
                <w:szCs w:val="14"/>
                <w:color w:val="auto"/>
              </w:rPr>
            </w:pPr>
          </w:p>
        </w:tc>
        <w:tc>
          <w:tcPr>
            <w:tcW w:w="1920" w:type="dxa"/>
            <w:vAlign w:val="bottom"/>
            <w:tcBorders>
              <w:top w:val="single" w:sz="8" w:color="auto"/>
            </w:tcBorders>
            <w:shd w:val="clear" w:color="auto" w:fill="E0E7ED"/>
          </w:tcPr>
          <w:p>
            <w:pPr>
              <w:jc w:val="center"/>
              <w:spacing w:after="0"/>
              <w:rPr>
                <w:sz w:val="20"/>
                <w:szCs w:val="20"/>
                <w:color w:val="auto"/>
              </w:rPr>
            </w:pPr>
            <w:r>
              <w:rPr>
                <w:rFonts w:ascii="Arial" w:cs="Arial" w:eastAsia="Arial" w:hAnsi="Arial"/>
                <w:sz w:val="14"/>
                <w:szCs w:val="14"/>
                <w:color w:val="auto"/>
                <w:w w:val="99"/>
              </w:rPr>
              <w:t>-1.6% to -100.0%</w:t>
            </w:r>
          </w:p>
        </w:tc>
        <w:tc>
          <w:tcPr>
            <w:tcW w:w="0" w:type="dxa"/>
            <w:vAlign w:val="bottom"/>
          </w:tcPr>
          <w:p>
            <w:pPr>
              <w:spacing w:after="0"/>
              <w:rPr>
                <w:sz w:val="1"/>
                <w:szCs w:val="1"/>
                <w:color w:val="auto"/>
              </w:rPr>
            </w:pPr>
          </w:p>
        </w:tc>
      </w:tr>
      <w:tr>
        <w:trPr>
          <w:trHeight w:val="206"/>
        </w:trPr>
        <w:tc>
          <w:tcPr>
            <w:tcW w:w="38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5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4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920" w:type="dxa"/>
            <w:vAlign w:val="bottom"/>
            <w:shd w:val="clear" w:color="auto" w:fill="E0E7ED"/>
          </w:tcPr>
          <w:p>
            <w:pPr>
              <w:jc w:val="center"/>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76"/>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Bank property held for sale with impairment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2,653</w:t>
            </w:r>
          </w:p>
        </w:tc>
        <w:tc>
          <w:tcPr>
            <w:tcW w:w="80" w:type="dxa"/>
            <w:vAlign w:val="bottom"/>
          </w:tcPr>
          <w:p>
            <w:pPr>
              <w:spacing w:after="0"/>
              <w:rPr>
                <w:sz w:val="15"/>
                <w:szCs w:val="15"/>
                <w:color w:val="auto"/>
              </w:rPr>
            </w:pPr>
          </w:p>
        </w:tc>
        <w:tc>
          <w:tcPr>
            <w:tcW w:w="2660" w:type="dxa"/>
            <w:vAlign w:val="bottom"/>
            <w:gridSpan w:val="2"/>
          </w:tcPr>
          <w:p>
            <w:pPr>
              <w:jc w:val="center"/>
              <w:ind w:right="80"/>
              <w:spacing w:after="0"/>
              <w:rPr>
                <w:sz w:val="20"/>
                <w:szCs w:val="20"/>
                <w:color w:val="auto"/>
              </w:rPr>
            </w:pPr>
            <w:r>
              <w:rPr>
                <w:rFonts w:ascii="Arial" w:cs="Arial" w:eastAsia="Arial" w:hAnsi="Arial"/>
                <w:sz w:val="14"/>
                <w:szCs w:val="14"/>
                <w:color w:val="auto"/>
              </w:rPr>
              <w:t>Appraisal of collateral or real estate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rPr>
              <w:t>Appraisal adjustments</w:t>
            </w:r>
          </w:p>
        </w:tc>
        <w:tc>
          <w:tcPr>
            <w:tcW w:w="1920" w:type="dxa"/>
            <w:vAlign w:val="bottom"/>
          </w:tcPr>
          <w:p>
            <w:pPr>
              <w:jc w:val="center"/>
              <w:spacing w:after="0"/>
              <w:rPr>
                <w:sz w:val="20"/>
                <w:szCs w:val="20"/>
                <w:color w:val="auto"/>
              </w:rPr>
            </w:pPr>
            <w:r>
              <w:rPr>
                <w:rFonts w:ascii="Arial" w:cs="Arial" w:eastAsia="Arial" w:hAnsi="Arial"/>
                <w:sz w:val="14"/>
                <w:szCs w:val="14"/>
                <w:color w:val="auto"/>
                <w:w w:val="99"/>
              </w:rPr>
              <w:t>-9.0% to -86.8%</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listing price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423"/>
        </w:trPr>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4"/>
          </w:tcPr>
          <w:p>
            <w:pPr>
              <w:ind w:left="1800"/>
              <w:spacing w:after="0"/>
              <w:rPr>
                <w:sz w:val="20"/>
                <w:szCs w:val="20"/>
                <w:color w:val="auto"/>
              </w:rPr>
            </w:pPr>
            <w:r>
              <w:rPr>
                <w:rFonts w:ascii="Arial" w:cs="Arial" w:eastAsia="Arial" w:hAnsi="Arial"/>
                <w:sz w:val="11"/>
                <w:szCs w:val="11"/>
                <w:b w:val="1"/>
                <w:bCs w:val="1"/>
                <w:color w:val="auto"/>
              </w:rPr>
              <w:t>As of December 31, 2024</w:t>
            </w: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82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1"/>
                <w:szCs w:val="11"/>
                <w:b w:val="1"/>
                <w:bCs w:val="1"/>
                <w:color w:val="auto"/>
              </w:rPr>
              <w:t>Fair Value</w:t>
            </w:r>
          </w:p>
        </w:tc>
        <w:tc>
          <w:tcPr>
            <w:tcW w:w="80" w:type="dxa"/>
            <w:vAlign w:val="bottom"/>
            <w:vMerge w:val="restart"/>
          </w:tcPr>
          <w:p>
            <w:pPr>
              <w:spacing w:after="0"/>
              <w:rPr>
                <w:sz w:val="9"/>
                <w:szCs w:val="9"/>
                <w:color w:val="auto"/>
              </w:rPr>
            </w:pPr>
          </w:p>
        </w:tc>
        <w:tc>
          <w:tcPr>
            <w:tcW w:w="2660" w:type="dxa"/>
            <w:vAlign w:val="bottom"/>
            <w:gridSpan w:val="2"/>
          </w:tcPr>
          <w:p>
            <w:pPr>
              <w:jc w:val="center"/>
              <w:ind w:right="80"/>
              <w:spacing w:after="0" w:line="107" w:lineRule="exact"/>
              <w:rPr>
                <w:sz w:val="20"/>
                <w:szCs w:val="20"/>
                <w:color w:val="auto"/>
              </w:rPr>
            </w:pPr>
            <w:r>
              <w:rPr>
                <w:rFonts w:ascii="Arial" w:cs="Arial" w:eastAsia="Arial" w:hAnsi="Arial"/>
                <w:sz w:val="11"/>
                <w:szCs w:val="11"/>
                <w:b w:val="1"/>
                <w:bCs w:val="1"/>
                <w:color w:val="auto"/>
              </w:rPr>
              <w:t>Valuation</w:t>
            </w:r>
          </w:p>
        </w:tc>
        <w:tc>
          <w:tcPr>
            <w:tcW w:w="1580" w:type="dxa"/>
            <w:vAlign w:val="bottom"/>
            <w:gridSpan w:val="2"/>
          </w:tcPr>
          <w:p>
            <w:pPr>
              <w:jc w:val="center"/>
              <w:ind w:right="80"/>
              <w:spacing w:after="0" w:line="107" w:lineRule="exact"/>
              <w:rPr>
                <w:sz w:val="20"/>
                <w:szCs w:val="20"/>
                <w:color w:val="auto"/>
              </w:rPr>
            </w:pPr>
            <w:r>
              <w:rPr>
                <w:rFonts w:ascii="Arial" w:cs="Arial" w:eastAsia="Arial" w:hAnsi="Arial"/>
                <w:sz w:val="11"/>
                <w:szCs w:val="11"/>
                <w:b w:val="1"/>
                <w:bCs w:val="1"/>
                <w:color w:val="auto"/>
              </w:rPr>
              <w:t>Unobservable</w:t>
            </w:r>
          </w:p>
        </w:tc>
        <w:tc>
          <w:tcPr>
            <w:tcW w:w="192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Range</w:t>
            </w:r>
          </w:p>
        </w:tc>
        <w:tc>
          <w:tcPr>
            <w:tcW w:w="0" w:type="dxa"/>
            <w:vAlign w:val="bottom"/>
          </w:tcPr>
          <w:p>
            <w:pPr>
              <w:spacing w:after="0"/>
              <w:rPr>
                <w:sz w:val="1"/>
                <w:szCs w:val="1"/>
                <w:color w:val="auto"/>
              </w:rPr>
            </w:pPr>
          </w:p>
        </w:tc>
      </w:tr>
      <w:tr>
        <w:trPr>
          <w:trHeight w:val="138"/>
        </w:trPr>
        <w:tc>
          <w:tcPr>
            <w:tcW w:w="38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Techniques</w:t>
            </w:r>
          </w:p>
        </w:tc>
        <w:tc>
          <w:tcPr>
            <w:tcW w:w="80" w:type="dxa"/>
            <w:vAlign w:val="bottom"/>
            <w:tcBorders>
              <w:bottom w:val="single" w:sz="8" w:color="E0E7ED"/>
            </w:tcBorders>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Input</w:t>
            </w:r>
          </w:p>
        </w:tc>
        <w:tc>
          <w:tcPr>
            <w:tcW w:w="100" w:type="dxa"/>
            <w:vAlign w:val="bottom"/>
            <w:tcBorders>
              <w:bottom w:val="single" w:sz="8" w:color="E0E7ED"/>
            </w:tcBorders>
          </w:tcPr>
          <w:p>
            <w:pPr>
              <w:spacing w:after="0"/>
              <w:rPr>
                <w:sz w:val="11"/>
                <w:szCs w:val="1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67"/>
        </w:trPr>
        <w:tc>
          <w:tcPr>
            <w:tcW w:w="390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Loans evaluated individually, net of related allowance</w:t>
            </w:r>
          </w:p>
        </w:tc>
        <w:tc>
          <w:tcPr>
            <w:tcW w:w="200" w:type="dxa"/>
            <w:vAlign w:val="bottom"/>
            <w:shd w:val="clear" w:color="auto" w:fill="E0E7ED"/>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616</w:t>
            </w:r>
          </w:p>
        </w:tc>
        <w:tc>
          <w:tcPr>
            <w:tcW w:w="80" w:type="dxa"/>
            <w:vAlign w:val="bottom"/>
            <w:shd w:val="clear" w:color="auto" w:fill="E0E7ED"/>
          </w:tcPr>
          <w:p>
            <w:pPr>
              <w:spacing w:after="0"/>
              <w:rPr>
                <w:sz w:val="14"/>
                <w:szCs w:val="14"/>
                <w:color w:val="auto"/>
              </w:rPr>
            </w:pPr>
          </w:p>
        </w:tc>
        <w:tc>
          <w:tcPr>
            <w:tcW w:w="2660" w:type="dxa"/>
            <w:vAlign w:val="bottom"/>
            <w:gridSpan w:val="2"/>
            <w:shd w:val="clear" w:color="auto" w:fill="E0E7ED"/>
          </w:tcPr>
          <w:p>
            <w:pPr>
              <w:jc w:val="center"/>
              <w:ind w:right="80"/>
              <w:spacing w:after="0"/>
              <w:rPr>
                <w:sz w:val="20"/>
                <w:szCs w:val="20"/>
                <w:color w:val="auto"/>
              </w:rPr>
            </w:pPr>
            <w:r>
              <w:rPr>
                <w:rFonts w:ascii="Arial" w:cs="Arial" w:eastAsia="Arial" w:hAnsi="Arial"/>
                <w:sz w:val="14"/>
                <w:szCs w:val="14"/>
                <w:color w:val="auto"/>
              </w:rPr>
              <w:t>Appraisal of collateral</w:t>
            </w:r>
          </w:p>
        </w:tc>
        <w:tc>
          <w:tcPr>
            <w:tcW w:w="1580" w:type="dxa"/>
            <w:vAlign w:val="bottom"/>
            <w:gridSpan w:val="2"/>
            <w:shd w:val="clear" w:color="auto" w:fill="E0E7ED"/>
          </w:tcPr>
          <w:p>
            <w:pPr>
              <w:jc w:val="center"/>
              <w:ind w:right="100"/>
              <w:spacing w:after="0"/>
              <w:rPr>
                <w:sz w:val="20"/>
                <w:szCs w:val="20"/>
                <w:color w:val="auto"/>
              </w:rPr>
            </w:pPr>
            <w:r>
              <w:rPr>
                <w:rFonts w:ascii="Arial" w:cs="Arial" w:eastAsia="Arial" w:hAnsi="Arial"/>
                <w:sz w:val="14"/>
                <w:szCs w:val="14"/>
                <w:color w:val="auto"/>
              </w:rPr>
              <w:t>Appraisal adjustments</w:t>
            </w:r>
          </w:p>
        </w:tc>
        <w:tc>
          <w:tcPr>
            <w:tcW w:w="1920" w:type="dxa"/>
            <w:vAlign w:val="bottom"/>
            <w:shd w:val="clear" w:color="auto" w:fill="E0E7ED"/>
          </w:tcPr>
          <w:p>
            <w:pPr>
              <w:jc w:val="center"/>
              <w:spacing w:after="0"/>
              <w:rPr>
                <w:sz w:val="20"/>
                <w:szCs w:val="20"/>
                <w:color w:val="auto"/>
              </w:rPr>
            </w:pPr>
            <w:r>
              <w:rPr>
                <w:rFonts w:ascii="Arial" w:cs="Arial" w:eastAsia="Arial" w:hAnsi="Arial"/>
                <w:sz w:val="14"/>
                <w:szCs w:val="14"/>
                <w:color w:val="auto"/>
              </w:rPr>
              <w:t>-25.0% to -100.0%</w:t>
            </w:r>
          </w:p>
        </w:tc>
        <w:tc>
          <w:tcPr>
            <w:tcW w:w="0" w:type="dxa"/>
            <w:vAlign w:val="bottom"/>
          </w:tcPr>
          <w:p>
            <w:pPr>
              <w:spacing w:after="0"/>
              <w:rPr>
                <w:sz w:val="1"/>
                <w:szCs w:val="1"/>
                <w:color w:val="auto"/>
              </w:rPr>
            </w:pPr>
          </w:p>
        </w:tc>
      </w:tr>
      <w:tr>
        <w:trPr>
          <w:trHeight w:val="206"/>
        </w:trPr>
        <w:tc>
          <w:tcPr>
            <w:tcW w:w="38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5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4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920" w:type="dxa"/>
            <w:vAlign w:val="bottom"/>
            <w:shd w:val="clear" w:color="auto" w:fill="E0E7ED"/>
          </w:tcPr>
          <w:p>
            <w:pPr>
              <w:jc w:val="center"/>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76"/>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Bank property held for sale with impairment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2,841</w:t>
            </w:r>
          </w:p>
        </w:tc>
        <w:tc>
          <w:tcPr>
            <w:tcW w:w="80" w:type="dxa"/>
            <w:vAlign w:val="bottom"/>
          </w:tcPr>
          <w:p>
            <w:pPr>
              <w:spacing w:after="0"/>
              <w:rPr>
                <w:sz w:val="15"/>
                <w:szCs w:val="15"/>
                <w:color w:val="auto"/>
              </w:rPr>
            </w:pPr>
          </w:p>
        </w:tc>
        <w:tc>
          <w:tcPr>
            <w:tcW w:w="2660" w:type="dxa"/>
            <w:vAlign w:val="bottom"/>
            <w:gridSpan w:val="2"/>
          </w:tcPr>
          <w:p>
            <w:pPr>
              <w:jc w:val="center"/>
              <w:ind w:right="80"/>
              <w:spacing w:after="0"/>
              <w:rPr>
                <w:sz w:val="20"/>
                <w:szCs w:val="20"/>
                <w:color w:val="auto"/>
              </w:rPr>
            </w:pPr>
            <w:r>
              <w:rPr>
                <w:rFonts w:ascii="Arial" w:cs="Arial" w:eastAsia="Arial" w:hAnsi="Arial"/>
                <w:sz w:val="14"/>
                <w:szCs w:val="14"/>
                <w:color w:val="auto"/>
              </w:rPr>
              <w:t>Appraisal of collateral or real estate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rPr>
              <w:t>Appraisal adjustments</w:t>
            </w:r>
          </w:p>
        </w:tc>
        <w:tc>
          <w:tcPr>
            <w:tcW w:w="1920" w:type="dxa"/>
            <w:vAlign w:val="bottom"/>
          </w:tcPr>
          <w:p>
            <w:pPr>
              <w:jc w:val="center"/>
              <w:spacing w:after="0"/>
              <w:rPr>
                <w:sz w:val="20"/>
                <w:szCs w:val="20"/>
                <w:color w:val="auto"/>
              </w:rPr>
            </w:pPr>
            <w:r>
              <w:rPr>
                <w:rFonts w:ascii="Arial" w:cs="Arial" w:eastAsia="Arial" w:hAnsi="Arial"/>
                <w:sz w:val="14"/>
                <w:szCs w:val="14"/>
                <w:color w:val="auto"/>
                <w:w w:val="99"/>
              </w:rPr>
              <w:t>-9.0% to -76.7%</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listing price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Assets and Financial Liabilities That Are Not Carried at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Fair values of financial instruments that are not carried at fair value on Busey’s </w:t>
      </w:r>
      <w:r>
        <w:rPr>
          <w:rFonts w:ascii="Arial" w:cs="Arial" w:eastAsia="Arial" w:hAnsi="Arial"/>
          <w:sz w:val="14"/>
          <w:szCs w:val="14"/>
          <w:u w:val="single" w:color="auto"/>
          <w:color w:val="0000FF"/>
        </w:rPr>
        <w:t>Consolidated Balance Sheets (Unaudited)</w:t>
      </w:r>
      <w:r>
        <w:rPr>
          <w:rFonts w:ascii="Arial" w:cs="Arial" w:eastAsia="Arial" w:hAnsi="Arial"/>
          <w:sz w:val="14"/>
          <w:szCs w:val="14"/>
          <w:color w:val="auto"/>
        </w:rPr>
        <w:t xml:space="preserve"> were estimated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March 31, 2025</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1"/>
                <w:szCs w:val="11"/>
                <w:b w:val="1"/>
                <w:bCs w:val="1"/>
                <w:color w:val="auto"/>
              </w:rPr>
              <w:t>As of December 31, 2024</w:t>
            </w:r>
          </w:p>
        </w:tc>
        <w:tc>
          <w:tcPr>
            <w:tcW w:w="0" w:type="dxa"/>
            <w:vAlign w:val="bottom"/>
          </w:tcPr>
          <w:p>
            <w:pPr>
              <w:spacing w:after="0"/>
              <w:rPr>
                <w:sz w:val="1"/>
                <w:szCs w:val="1"/>
                <w:color w:val="auto"/>
              </w:rPr>
            </w:pPr>
          </w:p>
        </w:tc>
      </w:tr>
      <w:tr>
        <w:trPr>
          <w:trHeight w:val="107"/>
        </w:trPr>
        <w:tc>
          <w:tcPr>
            <w:tcW w:w="5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ind w:left="180"/>
              <w:spacing w:after="0" w:line="107" w:lineRule="exact"/>
              <w:rPr>
                <w:sz w:val="20"/>
                <w:szCs w:val="20"/>
                <w:color w:val="auto"/>
              </w:rPr>
            </w:pPr>
            <w:r>
              <w:rPr>
                <w:rFonts w:ascii="Arial" w:cs="Arial" w:eastAsia="Arial" w:hAnsi="Arial"/>
                <w:sz w:val="11"/>
                <w:szCs w:val="11"/>
                <w:b w:val="1"/>
                <w:bCs w:val="1"/>
                <w:color w:val="auto"/>
              </w:rPr>
              <w:t>Carrying</w:t>
            </w:r>
          </w:p>
        </w:tc>
        <w:tc>
          <w:tcPr>
            <w:tcW w:w="540" w:type="dxa"/>
            <w:vAlign w:val="bottom"/>
          </w:tcPr>
          <w:p>
            <w:pPr>
              <w:spacing w:after="0"/>
              <w:rPr>
                <w:sz w:val="9"/>
                <w:szCs w:val="9"/>
                <w:color w:val="auto"/>
              </w:rPr>
            </w:pPr>
          </w:p>
        </w:tc>
        <w:tc>
          <w:tcPr>
            <w:tcW w:w="920" w:type="dxa"/>
            <w:vAlign w:val="bottom"/>
            <w:gridSpan w:val="2"/>
          </w:tcPr>
          <w:p>
            <w:pPr>
              <w:ind w:left="40"/>
              <w:spacing w:after="0" w:line="107" w:lineRule="exact"/>
              <w:rPr>
                <w:sz w:val="20"/>
                <w:szCs w:val="20"/>
                <w:color w:val="auto"/>
              </w:rPr>
            </w:pPr>
            <w:r>
              <w:rPr>
                <w:rFonts w:ascii="Arial" w:cs="Arial" w:eastAsia="Arial" w:hAnsi="Arial"/>
                <w:sz w:val="11"/>
                <w:szCs w:val="11"/>
                <w:b w:val="1"/>
                <w:bCs w:val="1"/>
                <w:color w:val="auto"/>
              </w:rPr>
              <w:t>Fair</w:t>
            </w:r>
          </w:p>
        </w:tc>
        <w:tc>
          <w:tcPr>
            <w:tcW w:w="280" w:type="dxa"/>
            <w:vAlign w:val="bottom"/>
          </w:tcPr>
          <w:p>
            <w:pPr>
              <w:spacing w:after="0"/>
              <w:rPr>
                <w:sz w:val="9"/>
                <w:szCs w:val="9"/>
                <w:color w:val="auto"/>
              </w:rPr>
            </w:pPr>
          </w:p>
        </w:tc>
        <w:tc>
          <w:tcPr>
            <w:tcW w:w="1180" w:type="dxa"/>
            <w:vAlign w:val="bottom"/>
            <w:gridSpan w:val="2"/>
          </w:tcPr>
          <w:p>
            <w:pPr>
              <w:ind w:left="180"/>
              <w:spacing w:after="0" w:line="107" w:lineRule="exact"/>
              <w:rPr>
                <w:sz w:val="20"/>
                <w:szCs w:val="20"/>
                <w:color w:val="auto"/>
              </w:rPr>
            </w:pPr>
            <w:r>
              <w:rPr>
                <w:rFonts w:ascii="Arial" w:cs="Arial" w:eastAsia="Arial" w:hAnsi="Arial"/>
                <w:sz w:val="11"/>
                <w:szCs w:val="11"/>
                <w:b w:val="1"/>
                <w:bCs w:val="1"/>
                <w:color w:val="auto"/>
              </w:rPr>
              <w:t>Carrying</w:t>
            </w:r>
          </w:p>
        </w:tc>
        <w:tc>
          <w:tcPr>
            <w:tcW w:w="300" w:type="dxa"/>
            <w:vAlign w:val="bottom"/>
          </w:tcPr>
          <w:p>
            <w:pPr>
              <w:spacing w:after="0"/>
              <w:rPr>
                <w:sz w:val="9"/>
                <w:szCs w:val="9"/>
                <w:color w:val="auto"/>
              </w:rPr>
            </w:pPr>
          </w:p>
        </w:tc>
        <w:tc>
          <w:tcPr>
            <w:tcW w:w="1060" w:type="dxa"/>
            <w:vAlign w:val="bottom"/>
          </w:tcPr>
          <w:p>
            <w:pPr>
              <w:jc w:val="right"/>
              <w:ind w:right="511"/>
              <w:spacing w:after="0" w:line="107" w:lineRule="exact"/>
              <w:rPr>
                <w:sz w:val="20"/>
                <w:szCs w:val="20"/>
                <w:color w:val="auto"/>
              </w:rPr>
            </w:pPr>
            <w:r>
              <w:rPr>
                <w:rFonts w:ascii="Arial" w:cs="Arial" w:eastAsia="Arial" w:hAnsi="Arial"/>
                <w:sz w:val="11"/>
                <w:szCs w:val="11"/>
                <w:b w:val="1"/>
                <w:bCs w:val="1"/>
                <w:color w:val="auto"/>
              </w:rPr>
              <w:t>Fair</w:t>
            </w:r>
          </w:p>
        </w:tc>
        <w:tc>
          <w:tcPr>
            <w:tcW w:w="0" w:type="dxa"/>
            <w:vAlign w:val="bottom"/>
          </w:tcPr>
          <w:p>
            <w:pPr>
              <w:spacing w:after="0"/>
              <w:rPr>
                <w:sz w:val="1"/>
                <w:szCs w:val="1"/>
                <w:color w:val="auto"/>
              </w:rPr>
            </w:pPr>
          </w:p>
        </w:tc>
      </w:tr>
      <w:tr>
        <w:trPr>
          <w:trHeight w:val="138"/>
        </w:trPr>
        <w:tc>
          <w:tcPr>
            <w:tcW w:w="54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E0E7ED"/>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w w:val="95"/>
              </w:rPr>
              <w:t>Value</w:t>
            </w:r>
          </w:p>
        </w:tc>
        <w:tc>
          <w:tcPr>
            <w:tcW w:w="80" w:type="dxa"/>
            <w:vAlign w:val="bottom"/>
            <w:tcBorders>
              <w:bottom w:val="single" w:sz="8" w:color="E0E7ED"/>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203"/>
        </w:trPr>
        <w:tc>
          <w:tcPr>
            <w:tcW w:w="556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Financial assets</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540" w:type="dxa"/>
            <w:vAlign w:val="bottom"/>
            <w:shd w:val="clear" w:color="auto" w:fill="E0E7ED"/>
          </w:tcPr>
          <w:p>
            <w:pPr>
              <w:spacing w:after="0"/>
              <w:rPr>
                <w:sz w:val="17"/>
                <w:szCs w:val="17"/>
                <w:color w:val="auto"/>
              </w:rPr>
            </w:pPr>
          </w:p>
        </w:tc>
        <w:tc>
          <w:tcPr>
            <w:tcW w:w="8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80" w:type="dxa"/>
            <w:vAlign w:val="bottom"/>
            <w:shd w:val="clear" w:color="auto" w:fill="E0E7ED"/>
          </w:tcPr>
          <w:p>
            <w:pPr>
              <w:spacing w:after="0"/>
              <w:rPr>
                <w:sz w:val="17"/>
                <w:szCs w:val="17"/>
                <w:color w:val="auto"/>
              </w:rPr>
            </w:pPr>
          </w:p>
        </w:tc>
        <w:tc>
          <w:tcPr>
            <w:tcW w:w="10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00" w:type="dxa"/>
            <w:vAlign w:val="bottom"/>
            <w:shd w:val="clear" w:color="auto" w:fill="E0E7ED"/>
          </w:tcPr>
          <w:p>
            <w:pPr>
              <w:spacing w:after="0"/>
              <w:rPr>
                <w:sz w:val="17"/>
                <w:szCs w:val="17"/>
                <w:color w:val="auto"/>
              </w:rPr>
            </w:pPr>
          </w:p>
        </w:tc>
        <w:tc>
          <w:tcPr>
            <w:tcW w:w="106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Level 1 inputs: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2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1,200,292</w:t>
            </w:r>
          </w:p>
        </w:tc>
        <w:tc>
          <w:tcPr>
            <w:tcW w:w="80" w:type="dxa"/>
            <w:vAlign w:val="bottom"/>
            <w:shd w:val="clear" w:color="auto" w:fill="E0E7ED"/>
          </w:tcPr>
          <w:p>
            <w:pPr>
              <w:spacing w:after="0"/>
              <w:rPr>
                <w:sz w:val="19"/>
                <w:szCs w:val="19"/>
                <w:color w:val="auto"/>
              </w:rPr>
            </w:pPr>
          </w:p>
        </w:tc>
        <w:tc>
          <w:tcPr>
            <w:tcW w:w="540" w:type="dxa"/>
            <w:vAlign w:val="bottom"/>
            <w:shd w:val="clear" w:color="auto" w:fill="E0E7ED"/>
          </w:tcPr>
          <w:p>
            <w:pPr>
              <w:jc w:val="right"/>
              <w:ind w:right="369"/>
              <w:spacing w:after="0"/>
              <w:rPr>
                <w:sz w:val="20"/>
                <w:szCs w:val="20"/>
                <w:color w:val="auto"/>
              </w:rPr>
            </w:pPr>
            <w:r>
              <w:rPr>
                <w:rFonts w:ascii="Arial" w:cs="Arial" w:eastAsia="Arial" w:hAnsi="Arial"/>
                <w:sz w:val="14"/>
                <w:szCs w:val="14"/>
                <w:color w:val="auto"/>
              </w:rPr>
              <w:t>$</w:t>
            </w: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1,200,292</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697,659</w:t>
            </w: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697,659</w:t>
            </w:r>
          </w:p>
        </w:tc>
        <w:tc>
          <w:tcPr>
            <w:tcW w:w="0" w:type="dxa"/>
            <w:vAlign w:val="bottom"/>
          </w:tcPr>
          <w:p>
            <w:pPr>
              <w:spacing w:after="0"/>
              <w:rPr>
                <w:sz w:val="1"/>
                <w:szCs w:val="1"/>
                <w:color w:val="auto"/>
              </w:rPr>
            </w:pPr>
          </w:p>
        </w:tc>
      </w:tr>
      <w:tr>
        <w:trPr>
          <w:trHeight w:val="202"/>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Level 2 inputs: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280"/>
              <w:spacing w:after="0"/>
              <w:rPr>
                <w:sz w:val="20"/>
                <w:szCs w:val="20"/>
                <w:color w:val="auto"/>
              </w:rPr>
            </w:pPr>
            <w:r>
              <w:rPr>
                <w:rFonts w:ascii="Arial" w:cs="Arial" w:eastAsia="Arial" w:hAnsi="Arial"/>
                <w:sz w:val="14"/>
                <w:szCs w:val="14"/>
                <w:color w:val="auto"/>
              </w:rPr>
              <w:t>Debt securities held to maturity</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815,402</w:t>
            </w:r>
          </w:p>
        </w:tc>
        <w:tc>
          <w:tcPr>
            <w:tcW w:w="80" w:type="dxa"/>
            <w:vAlign w:val="bottom"/>
            <w:shd w:val="clear" w:color="auto" w:fill="E0E7ED"/>
          </w:tcPr>
          <w:p>
            <w:pPr>
              <w:spacing w:after="0"/>
              <w:rPr>
                <w:sz w:val="19"/>
                <w:szCs w:val="19"/>
                <w:color w:val="auto"/>
              </w:rPr>
            </w:pPr>
          </w:p>
        </w:tc>
        <w:tc>
          <w:tcPr>
            <w:tcW w:w="54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678,470</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826,630</w:t>
            </w: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675,053</w:t>
            </w:r>
          </w:p>
        </w:tc>
        <w:tc>
          <w:tcPr>
            <w:tcW w:w="0" w:type="dxa"/>
            <w:vAlign w:val="bottom"/>
          </w:tcPr>
          <w:p>
            <w:pPr>
              <w:spacing w:after="0"/>
              <w:rPr>
                <w:sz w:val="1"/>
                <w:szCs w:val="1"/>
                <w:color w:val="auto"/>
              </w:rPr>
            </w:pPr>
          </w:p>
        </w:tc>
      </w:tr>
      <w:tr>
        <w:trPr>
          <w:trHeight w:val="202"/>
        </w:trPr>
        <w:tc>
          <w:tcPr>
            <w:tcW w:w="5560" w:type="dxa"/>
            <w:vAlign w:val="bottom"/>
            <w:gridSpan w:val="2"/>
          </w:tcPr>
          <w:p>
            <w:pPr>
              <w:ind w:left="280"/>
              <w:spacing w:after="0"/>
              <w:rPr>
                <w:sz w:val="20"/>
                <w:szCs w:val="20"/>
                <w:color w:val="auto"/>
              </w:rPr>
            </w:pPr>
            <w:r>
              <w:rPr>
                <w:rFonts w:ascii="Arial" w:cs="Arial" w:eastAsia="Arial" w:hAnsi="Arial"/>
                <w:sz w:val="14"/>
                <w:szCs w:val="14"/>
                <w:color w:val="auto"/>
              </w:rPr>
              <w:t>Loans held for sale</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7,270</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7,305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3,726</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280"/>
              <w:spacing w:after="0"/>
              <w:rPr>
                <w:sz w:val="20"/>
                <w:szCs w:val="20"/>
                <w:color w:val="auto"/>
              </w:rPr>
            </w:pPr>
            <w:r>
              <w:rPr>
                <w:rFonts w:ascii="Arial" w:cs="Arial" w:eastAsia="Arial" w:hAnsi="Arial"/>
                <w:sz w:val="14"/>
                <w:szCs w:val="14"/>
                <w:color w:val="auto"/>
              </w:rPr>
              <w:t>Restricted bank stock</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53,518</w:t>
            </w:r>
          </w:p>
        </w:tc>
        <w:tc>
          <w:tcPr>
            <w:tcW w:w="80" w:type="dxa"/>
            <w:vAlign w:val="bottom"/>
            <w:shd w:val="clear" w:color="auto" w:fill="E0E7ED"/>
          </w:tcPr>
          <w:p>
            <w:pPr>
              <w:spacing w:after="0"/>
              <w:rPr>
                <w:sz w:val="19"/>
                <w:szCs w:val="19"/>
                <w:color w:val="auto"/>
              </w:rPr>
            </w:pPr>
          </w:p>
        </w:tc>
        <w:tc>
          <w:tcPr>
            <w:tcW w:w="54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53,518</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49,930</w:t>
            </w: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49,930</w:t>
            </w:r>
          </w:p>
        </w:tc>
        <w:tc>
          <w:tcPr>
            <w:tcW w:w="0" w:type="dxa"/>
            <w:vAlign w:val="bottom"/>
          </w:tcPr>
          <w:p>
            <w:pPr>
              <w:spacing w:after="0"/>
              <w:rPr>
                <w:sz w:val="1"/>
                <w:szCs w:val="1"/>
                <w:color w:val="auto"/>
              </w:rPr>
            </w:pPr>
          </w:p>
        </w:tc>
      </w:tr>
      <w:tr>
        <w:trPr>
          <w:trHeight w:val="202"/>
        </w:trPr>
        <w:tc>
          <w:tcPr>
            <w:tcW w:w="5560" w:type="dxa"/>
            <w:vAlign w:val="bottom"/>
            <w:gridSpan w:val="2"/>
          </w:tcPr>
          <w:p>
            <w:pPr>
              <w:ind w:left="280"/>
              <w:spacing w:after="0"/>
              <w:rPr>
                <w:sz w:val="20"/>
                <w:szCs w:val="20"/>
                <w:color w:val="auto"/>
              </w:rPr>
            </w:pPr>
            <w:r>
              <w:rPr>
                <w:rFonts w:ascii="Arial" w:cs="Arial" w:eastAsia="Arial" w:hAnsi="Arial"/>
                <w:sz w:val="14"/>
                <w:szCs w:val="14"/>
                <w:color w:val="auto"/>
              </w:rPr>
              <w:t>Accrued interest receivable</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79,673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79,673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45,141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45,141</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Level 3 inputs:</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540" w:type="dxa"/>
            <w:vAlign w:val="bottom"/>
            <w:shd w:val="clear" w:color="auto" w:fill="E0E7ED"/>
          </w:tcPr>
          <w:p>
            <w:pPr>
              <w:spacing w:after="0"/>
              <w:rPr>
                <w:sz w:val="19"/>
                <w:szCs w:val="19"/>
                <w:color w:val="auto"/>
              </w:rPr>
            </w:pPr>
          </w:p>
        </w:tc>
        <w:tc>
          <w:tcPr>
            <w:tcW w:w="8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60" w:type="dxa"/>
            <w:vAlign w:val="bottom"/>
            <w:gridSpan w:val="2"/>
          </w:tcPr>
          <w:p>
            <w:pPr>
              <w:ind w:left="280"/>
              <w:spacing w:after="0"/>
              <w:rPr>
                <w:sz w:val="20"/>
                <w:szCs w:val="20"/>
                <w:color w:val="auto"/>
              </w:rPr>
            </w:pPr>
            <w:r>
              <w:rPr>
                <w:rFonts w:ascii="Arial" w:cs="Arial" w:eastAsia="Arial" w:hAnsi="Arial"/>
                <w:sz w:val="14"/>
                <w:szCs w:val="14"/>
                <w:color w:val="auto"/>
              </w:rPr>
              <w:t>Portfolio loans, net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13,673,147</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13,610,565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7,613,683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7,426,158</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280"/>
              <w:spacing w:after="0"/>
              <w:rPr>
                <w:sz w:val="20"/>
                <w:szCs w:val="20"/>
                <w:color w:val="auto"/>
              </w:rPr>
            </w:pPr>
            <w:r>
              <w:rPr>
                <w:rFonts w:ascii="Arial" w:cs="Arial" w:eastAsia="Arial" w:hAnsi="Arial"/>
                <w:sz w:val="14"/>
                <w:szCs w:val="14"/>
                <w:color w:val="auto"/>
              </w:rPr>
              <w:t>Mortgage servicing rights</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1,203</w:t>
            </w:r>
          </w:p>
        </w:tc>
        <w:tc>
          <w:tcPr>
            <w:tcW w:w="80" w:type="dxa"/>
            <w:vAlign w:val="bottom"/>
            <w:shd w:val="clear" w:color="auto" w:fill="E0E7ED"/>
          </w:tcPr>
          <w:p>
            <w:pPr>
              <w:spacing w:after="0"/>
              <w:rPr>
                <w:sz w:val="19"/>
                <w:szCs w:val="19"/>
                <w:color w:val="auto"/>
              </w:rPr>
            </w:pPr>
          </w:p>
        </w:tc>
        <w:tc>
          <w:tcPr>
            <w:tcW w:w="54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5,311</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5,627</w:t>
            </w:r>
          </w:p>
        </w:tc>
        <w:tc>
          <w:tcPr>
            <w:tcW w:w="0" w:type="dxa"/>
            <w:vAlign w:val="bottom"/>
          </w:tcPr>
          <w:p>
            <w:pPr>
              <w:spacing w:after="0"/>
              <w:rPr>
                <w:sz w:val="1"/>
                <w:szCs w:val="1"/>
                <w:color w:val="auto"/>
              </w:rPr>
            </w:pPr>
          </w:p>
        </w:tc>
      </w:tr>
      <w:tr>
        <w:trPr>
          <w:trHeight w:val="202"/>
        </w:trPr>
        <w:tc>
          <w:tcPr>
            <w:tcW w:w="5560" w:type="dxa"/>
            <w:vAlign w:val="bottom"/>
            <w:gridSpan w:val="2"/>
          </w:tcPr>
          <w:p>
            <w:pPr>
              <w:ind w:left="280"/>
              <w:spacing w:after="0"/>
              <w:rPr>
                <w:sz w:val="20"/>
                <w:szCs w:val="20"/>
                <w:color w:val="auto"/>
              </w:rPr>
            </w:pPr>
            <w:r>
              <w:rPr>
                <w:rFonts w:ascii="Arial" w:cs="Arial" w:eastAsia="Arial" w:hAnsi="Arial"/>
                <w:sz w:val="14"/>
                <w:szCs w:val="14"/>
                <w:color w:val="auto"/>
              </w:rPr>
              <w:t>Other servicing rights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2,883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222"/>
        </w:trPr>
        <w:tc>
          <w:tcPr>
            <w:tcW w:w="54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540" w:type="dxa"/>
            <w:vAlign w:val="bottom"/>
            <w:shd w:val="clear" w:color="auto" w:fill="E0E7ED"/>
          </w:tcPr>
          <w:p>
            <w:pPr>
              <w:spacing w:after="0"/>
              <w:rPr>
                <w:sz w:val="19"/>
                <w:szCs w:val="19"/>
                <w:color w:val="auto"/>
              </w:rPr>
            </w:pPr>
          </w:p>
        </w:tc>
        <w:tc>
          <w:tcPr>
            <w:tcW w:w="8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56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Level 2 inputs:</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540" w:type="dxa"/>
            <w:vAlign w:val="bottom"/>
            <w:shd w:val="clear" w:color="auto" w:fill="E0E7ED"/>
          </w:tcPr>
          <w:p>
            <w:pPr>
              <w:spacing w:after="0"/>
              <w:rPr>
                <w:sz w:val="18"/>
                <w:szCs w:val="18"/>
                <w:color w:val="auto"/>
              </w:rPr>
            </w:pPr>
          </w:p>
        </w:tc>
        <w:tc>
          <w:tcPr>
            <w:tcW w:w="8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60" w:type="dxa"/>
            <w:vAlign w:val="bottom"/>
            <w:gridSpan w:val="2"/>
          </w:tcPr>
          <w:p>
            <w:pPr>
              <w:ind w:left="280"/>
              <w:spacing w:after="0"/>
              <w:rPr>
                <w:sz w:val="20"/>
                <w:szCs w:val="20"/>
                <w:color w:val="auto"/>
              </w:rPr>
            </w:pPr>
            <w:r>
              <w:rPr>
                <w:rFonts w:ascii="Arial" w:cs="Arial" w:eastAsia="Arial" w:hAnsi="Arial"/>
                <w:sz w:val="14"/>
                <w:szCs w:val="14"/>
                <w:color w:val="auto"/>
              </w:rPr>
              <w:t>Time deposits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3,091,076</w:t>
            </w:r>
          </w:p>
        </w:tc>
        <w:tc>
          <w:tcPr>
            <w:tcW w:w="80" w:type="dxa"/>
            <w:vAlign w:val="bottom"/>
          </w:tcPr>
          <w:p>
            <w:pPr>
              <w:spacing w:after="0"/>
              <w:rPr>
                <w:sz w:val="17"/>
                <w:szCs w:val="17"/>
                <w:color w:val="auto"/>
              </w:rPr>
            </w:pP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3,083,309</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1,490,635</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1,481,591</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280"/>
              <w:spacing w:after="0"/>
              <w:rPr>
                <w:sz w:val="20"/>
                <w:szCs w:val="20"/>
                <w:color w:val="auto"/>
              </w:rPr>
            </w:pPr>
            <w:r>
              <w:rPr>
                <w:rFonts w:ascii="Arial" w:cs="Arial" w:eastAsia="Arial" w:hAnsi="Arial"/>
                <w:sz w:val="14"/>
                <w:szCs w:val="14"/>
                <w:color w:val="auto"/>
              </w:rPr>
              <w:t>Securities sold under agreements to repurchase</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137,340</w:t>
            </w:r>
          </w:p>
        </w:tc>
        <w:tc>
          <w:tcPr>
            <w:tcW w:w="80" w:type="dxa"/>
            <w:vAlign w:val="bottom"/>
            <w:shd w:val="clear" w:color="auto" w:fill="E0E7ED"/>
          </w:tcPr>
          <w:p>
            <w:pPr>
              <w:spacing w:after="0"/>
              <w:rPr>
                <w:sz w:val="19"/>
                <w:szCs w:val="19"/>
                <w:color w:val="auto"/>
              </w:rPr>
            </w:pPr>
          </w:p>
        </w:tc>
        <w:tc>
          <w:tcPr>
            <w:tcW w:w="54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137,340</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155,610</w:t>
            </w: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155,610</w:t>
            </w:r>
          </w:p>
        </w:tc>
        <w:tc>
          <w:tcPr>
            <w:tcW w:w="0" w:type="dxa"/>
            <w:vAlign w:val="bottom"/>
          </w:tcPr>
          <w:p>
            <w:pPr>
              <w:spacing w:after="0"/>
              <w:rPr>
                <w:sz w:val="1"/>
                <w:szCs w:val="1"/>
                <w:color w:val="auto"/>
              </w:rPr>
            </w:pPr>
          </w:p>
        </w:tc>
      </w:tr>
      <w:tr>
        <w:trPr>
          <w:trHeight w:val="202"/>
        </w:trPr>
        <w:tc>
          <w:tcPr>
            <w:tcW w:w="5560" w:type="dxa"/>
            <w:vAlign w:val="bottom"/>
            <w:gridSpan w:val="2"/>
          </w:tcPr>
          <w:p>
            <w:pPr>
              <w:ind w:left="280"/>
              <w:spacing w:after="0"/>
              <w:rPr>
                <w:sz w:val="20"/>
                <w:szCs w:val="20"/>
                <w:color w:val="auto"/>
              </w:rPr>
            </w:pPr>
            <w:r>
              <w:rPr>
                <w:rFonts w:ascii="Arial" w:cs="Arial" w:eastAsia="Arial" w:hAnsi="Arial"/>
                <w:sz w:val="14"/>
                <w:szCs w:val="14"/>
                <w:color w:val="auto"/>
              </w:rPr>
              <w:t>Short-term borrowings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11,209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11,130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28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78,542</w:t>
            </w:r>
          </w:p>
        </w:tc>
        <w:tc>
          <w:tcPr>
            <w:tcW w:w="80" w:type="dxa"/>
            <w:vAlign w:val="bottom"/>
            <w:shd w:val="clear" w:color="auto" w:fill="E0E7ED"/>
          </w:tcPr>
          <w:p>
            <w:pPr>
              <w:spacing w:after="0"/>
              <w:rPr>
                <w:sz w:val="19"/>
                <w:szCs w:val="19"/>
                <w:color w:val="auto"/>
              </w:rPr>
            </w:pPr>
          </w:p>
        </w:tc>
        <w:tc>
          <w:tcPr>
            <w:tcW w:w="54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75,092</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1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560" w:type="dxa"/>
            <w:vAlign w:val="bottom"/>
            <w:gridSpan w:val="2"/>
          </w:tcPr>
          <w:p>
            <w:pPr>
              <w:ind w:left="280"/>
              <w:spacing w:after="0"/>
              <w:rPr>
                <w:sz w:val="20"/>
                <w:szCs w:val="20"/>
                <w:color w:val="auto"/>
              </w:rPr>
            </w:pPr>
            <w:r>
              <w:rPr>
                <w:rFonts w:ascii="Arial" w:cs="Arial" w:eastAsia="Arial" w:hAnsi="Arial"/>
                <w:sz w:val="14"/>
                <w:szCs w:val="14"/>
                <w:color w:val="auto"/>
              </w:rPr>
              <w:t>Junior subordinated debt owed to unconsolidated trusts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77,117</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70,492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74,815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67,314</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280"/>
              <w:spacing w:after="0"/>
              <w:rPr>
                <w:sz w:val="20"/>
                <w:szCs w:val="20"/>
                <w:color w:val="auto"/>
              </w:rPr>
            </w:pPr>
            <w:r>
              <w:rPr>
                <w:rFonts w:ascii="Arial" w:cs="Arial" w:eastAsia="Arial" w:hAnsi="Arial"/>
                <w:sz w:val="14"/>
                <w:szCs w:val="14"/>
                <w:color w:val="auto"/>
              </w:rPr>
              <w:t>Accrued interest payable</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41,699</w:t>
            </w:r>
          </w:p>
        </w:tc>
        <w:tc>
          <w:tcPr>
            <w:tcW w:w="80" w:type="dxa"/>
            <w:vAlign w:val="bottom"/>
            <w:shd w:val="clear" w:color="auto" w:fill="E0E7ED"/>
          </w:tcPr>
          <w:p>
            <w:pPr>
              <w:spacing w:after="0"/>
              <w:rPr>
                <w:sz w:val="19"/>
                <w:szCs w:val="19"/>
                <w:color w:val="auto"/>
              </w:rPr>
            </w:pPr>
          </w:p>
        </w:tc>
        <w:tc>
          <w:tcPr>
            <w:tcW w:w="54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41,699</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21,129</w:t>
            </w: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21,129</w:t>
            </w:r>
          </w:p>
        </w:tc>
        <w:tc>
          <w:tcPr>
            <w:tcW w:w="0" w:type="dxa"/>
            <w:vAlign w:val="bottom"/>
          </w:tcPr>
          <w:p>
            <w:pPr>
              <w:spacing w:after="0"/>
              <w:rPr>
                <w:sz w:val="1"/>
                <w:szCs w:val="1"/>
                <w:color w:val="auto"/>
              </w:rPr>
            </w:pPr>
          </w:p>
        </w:tc>
      </w:tr>
      <w:tr>
        <w:trPr>
          <w:trHeight w:val="202"/>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Level 3 inputs: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E0E7ED"/>
          </w:tcPr>
          <w:p>
            <w:pPr>
              <w:ind w:left="280"/>
              <w:spacing w:after="0"/>
              <w:rPr>
                <w:sz w:val="20"/>
                <w:szCs w:val="20"/>
                <w:color w:val="auto"/>
              </w:rPr>
            </w:pPr>
            <w:r>
              <w:rPr>
                <w:rFonts w:ascii="Arial" w:cs="Arial" w:eastAsia="Arial" w:hAnsi="Arial"/>
                <w:sz w:val="14"/>
                <w:szCs w:val="14"/>
                <w:color w:val="auto"/>
              </w:rPr>
              <w:t>Subordinated notes, net of unamortized issuance costs</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227,967</w:t>
            </w:r>
          </w:p>
        </w:tc>
        <w:tc>
          <w:tcPr>
            <w:tcW w:w="80" w:type="dxa"/>
            <w:vAlign w:val="bottom"/>
            <w:shd w:val="clear" w:color="auto" w:fill="E0E7ED"/>
          </w:tcPr>
          <w:p>
            <w:pPr>
              <w:spacing w:after="0"/>
              <w:rPr>
                <w:sz w:val="19"/>
                <w:szCs w:val="19"/>
                <w:color w:val="auto"/>
              </w:rPr>
            </w:pPr>
          </w:p>
        </w:tc>
        <w:tc>
          <w:tcPr>
            <w:tcW w:w="540" w:type="dxa"/>
            <w:vAlign w:val="bottom"/>
            <w:shd w:val="clear" w:color="auto" w:fill="E0E7ED"/>
          </w:tcPr>
          <w:p>
            <w:pPr>
              <w:spacing w:after="0"/>
              <w:rPr>
                <w:sz w:val="19"/>
                <w:szCs w:val="19"/>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220,355</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227,723</w:t>
            </w: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219,043</w:t>
            </w:r>
          </w:p>
        </w:tc>
        <w:tc>
          <w:tcPr>
            <w:tcW w:w="0" w:type="dxa"/>
            <w:vAlign w:val="bottom"/>
          </w:tcPr>
          <w:p>
            <w:pPr>
              <w:spacing w:after="0"/>
              <w:rPr>
                <w:sz w:val="1"/>
                <w:szCs w:val="1"/>
                <w:color w:val="auto"/>
              </w:rPr>
            </w:pPr>
          </w:p>
        </w:tc>
      </w:tr>
    </w:tbl>
    <w:p>
      <w:pPr>
        <w:spacing w:after="0" w:line="378"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EARNINGS PER COMMON SHARE</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Basic earnings per common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Busey’s outstanding stock options and SSARs were exercised, stock units were vested, and ESPP shares were issued.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Earnings per common share have been computed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1"/>
                <w:szCs w:val="11"/>
                <w:b w:val="1"/>
                <w:bCs w:val="1"/>
                <w:color w:val="auto"/>
              </w:rPr>
              <w:t>Three Months Ended March 31,</w:t>
            </w:r>
          </w:p>
        </w:tc>
      </w:tr>
      <w:tr>
        <w:trPr>
          <w:trHeight w:val="150"/>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 except per share amounts)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0" w:lineRule="exact"/>
              <w:rPr>
                <w:sz w:val="20"/>
                <w:szCs w:val="20"/>
                <w:color w:val="auto"/>
              </w:rPr>
            </w:pPr>
            <w:r>
              <w:rPr>
                <w:rFonts w:ascii="Arial" w:cs="Arial" w:eastAsia="Arial" w:hAnsi="Arial"/>
                <w:sz w:val="11"/>
                <w:szCs w:val="11"/>
                <w:b w:val="1"/>
                <w:bCs w:val="1"/>
                <w:color w:val="auto"/>
              </w:rPr>
              <w:t>2025</w:t>
            </w:r>
            <w:r>
              <w:rPr>
                <w:rFonts w:ascii="Arial" w:cs="Arial" w:eastAsia="Arial" w:hAnsi="Arial"/>
                <w:sz w:val="14"/>
                <w:szCs w:val="14"/>
                <w:b w:val="1"/>
                <w:bCs w:val="1"/>
                <w:color w:val="auto"/>
                <w:vertAlign w:val="superscript"/>
              </w:rPr>
              <w:t>1</w:t>
            </w:r>
          </w:p>
        </w:tc>
        <w:tc>
          <w:tcPr>
            <w:tcW w:w="100" w:type="dxa"/>
            <w:vAlign w:val="bottom"/>
            <w:tcBorders>
              <w:bottom w:val="single" w:sz="8" w:color="E0E7ED"/>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2024</w:t>
            </w:r>
          </w:p>
        </w:tc>
      </w:tr>
      <w:tr>
        <w:trPr>
          <w:trHeight w:val="228"/>
        </w:trPr>
        <w:tc>
          <w:tcPr>
            <w:tcW w:w="8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Borders>
              <w:bottom w:val="single" w:sz="8" w:color="auto"/>
            </w:tcBorders>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(29,990)</w:t>
            </w:r>
          </w:p>
        </w:tc>
        <w:tc>
          <w:tcPr>
            <w:tcW w:w="100" w:type="dxa"/>
            <w:vAlign w:val="bottom"/>
            <w:tcBorders>
              <w:bottom w:val="single" w:sz="8" w:color="E0E7ED"/>
            </w:tcBorders>
            <w:shd w:val="clear" w:color="auto" w:fill="E0E7ED"/>
          </w:tcPr>
          <w:p>
            <w:pPr>
              <w:spacing w:after="0"/>
              <w:rPr>
                <w:sz w:val="19"/>
                <w:szCs w:val="19"/>
                <w:color w:val="auto"/>
              </w:rPr>
            </w:pPr>
          </w:p>
        </w:tc>
        <w:tc>
          <w:tcPr>
            <w:tcW w:w="320" w:type="dxa"/>
            <w:vAlign w:val="bottom"/>
            <w:tcBorders>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26,225</w:t>
            </w:r>
          </w:p>
        </w:tc>
      </w:tr>
      <w:tr>
        <w:trPr>
          <w:trHeight w:val="20"/>
        </w:trPr>
        <w:tc>
          <w:tcPr>
            <w:tcW w:w="846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8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Weighted average number of common shares outstanding, basic</w:t>
            </w: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68,517,647</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55,416,589</w:t>
            </w:r>
          </w:p>
        </w:tc>
      </w:tr>
      <w:tr>
        <w:trPr>
          <w:trHeight w:val="202"/>
        </w:trPr>
        <w:tc>
          <w:tcPr>
            <w:tcW w:w="8460" w:type="dxa"/>
            <w:vAlign w:val="bottom"/>
          </w:tcPr>
          <w:p>
            <w:pPr>
              <w:ind w:left="20"/>
              <w:spacing w:after="0"/>
              <w:rPr>
                <w:sz w:val="20"/>
                <w:szCs w:val="20"/>
                <w:color w:val="auto"/>
              </w:rPr>
            </w:pPr>
            <w:r>
              <w:rPr>
                <w:rFonts w:ascii="Arial" w:cs="Arial" w:eastAsia="Arial" w:hAnsi="Arial"/>
                <w:sz w:val="14"/>
                <w:szCs w:val="14"/>
                <w:color w:val="auto"/>
              </w:rPr>
              <w:t>Dilutive effect of common stock equivalents: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RSU awards</w:t>
            </w:r>
          </w:p>
        </w:tc>
        <w:tc>
          <w:tcPr>
            <w:tcW w:w="320" w:type="dxa"/>
            <w:vAlign w:val="bottom"/>
            <w:shd w:val="clear" w:color="auto" w:fill="E0E7ED"/>
          </w:tcPr>
          <w:p>
            <w:pPr>
              <w:spacing w:after="0"/>
              <w:rPr>
                <w:sz w:val="19"/>
                <w:szCs w:val="19"/>
                <w:color w:val="auto"/>
              </w:rPr>
            </w:pPr>
          </w:p>
        </w:tc>
        <w:tc>
          <w:tcPr>
            <w:tcW w:w="1140" w:type="dxa"/>
            <w:vAlign w:val="bottom"/>
            <w:gridSpan w:val="2"/>
            <w:shd w:val="clear" w:color="auto" w:fill="E0E7ED"/>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653,437</w:t>
            </w: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PSU awards</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293,389</w:t>
            </w: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DSU awards</w:t>
            </w:r>
          </w:p>
        </w:tc>
        <w:tc>
          <w:tcPr>
            <w:tcW w:w="320" w:type="dxa"/>
            <w:vAlign w:val="bottom"/>
            <w:shd w:val="clear" w:color="auto" w:fill="E0E7ED"/>
          </w:tcPr>
          <w:p>
            <w:pPr>
              <w:spacing w:after="0"/>
              <w:rPr>
                <w:sz w:val="19"/>
                <w:szCs w:val="19"/>
                <w:color w:val="auto"/>
              </w:rPr>
            </w:pPr>
          </w:p>
        </w:tc>
        <w:tc>
          <w:tcPr>
            <w:tcW w:w="1140" w:type="dxa"/>
            <w:vAlign w:val="bottom"/>
            <w:gridSpan w:val="2"/>
            <w:shd w:val="clear" w:color="auto" w:fill="E0E7ED"/>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33,481</w:t>
            </w:r>
          </w:p>
        </w:tc>
      </w:tr>
      <w:tr>
        <w:trPr>
          <w:trHeight w:val="203"/>
        </w:trPr>
        <w:tc>
          <w:tcPr>
            <w:tcW w:w="8460" w:type="dxa"/>
            <w:vAlign w:val="bottom"/>
          </w:tcPr>
          <w:p>
            <w:pPr>
              <w:ind w:left="140"/>
              <w:spacing w:after="0"/>
              <w:rPr>
                <w:sz w:val="20"/>
                <w:szCs w:val="20"/>
                <w:color w:val="auto"/>
              </w:rPr>
            </w:pPr>
            <w:r>
              <w:rPr>
                <w:rFonts w:ascii="Arial" w:cs="Arial" w:eastAsia="Arial" w:hAnsi="Arial"/>
                <w:sz w:val="14"/>
                <w:szCs w:val="14"/>
                <w:color w:val="auto"/>
              </w:rPr>
              <w:t>ESPP</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9,604</w:t>
            </w:r>
          </w:p>
        </w:tc>
      </w:tr>
      <w:tr>
        <w:trPr>
          <w:trHeight w:val="237"/>
        </w:trPr>
        <w:tc>
          <w:tcPr>
            <w:tcW w:w="846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Weighted average number of common shares outstanding, diluted</w:t>
            </w:r>
          </w:p>
        </w:tc>
        <w:tc>
          <w:tcPr>
            <w:tcW w:w="320" w:type="dxa"/>
            <w:vAlign w:val="bottom"/>
            <w:tcBorders>
              <w:top w:val="single" w:sz="8" w:color="auto"/>
              <w:bottom w:val="single" w:sz="8" w:color="auto"/>
            </w:tcBorders>
            <w:shd w:val="clear" w:color="auto" w:fill="E0E7ED"/>
          </w:tcPr>
          <w:p>
            <w:pPr>
              <w:spacing w:after="0"/>
              <w:rPr>
                <w:sz w:val="20"/>
                <w:szCs w:val="20"/>
                <w:color w:val="auto"/>
              </w:rPr>
            </w:pP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68,517,647</w:t>
            </w:r>
          </w:p>
        </w:tc>
        <w:tc>
          <w:tcPr>
            <w:tcW w:w="100" w:type="dxa"/>
            <w:vAlign w:val="bottom"/>
            <w:tcBorders>
              <w:top w:val="single" w:sz="8" w:color="E0E7ED"/>
              <w:bottom w:val="single" w:sz="8" w:color="E0E7ED"/>
            </w:tcBorders>
            <w:shd w:val="clear" w:color="auto" w:fill="E0E7ED"/>
          </w:tcPr>
          <w:p>
            <w:pPr>
              <w:spacing w:after="0"/>
              <w:rPr>
                <w:sz w:val="20"/>
                <w:szCs w:val="20"/>
                <w:color w:val="auto"/>
              </w:rPr>
            </w:pPr>
          </w:p>
        </w:tc>
        <w:tc>
          <w:tcPr>
            <w:tcW w:w="320" w:type="dxa"/>
            <w:vAlign w:val="bottom"/>
            <w:tcBorders>
              <w:top w:val="single" w:sz="8" w:color="auto"/>
              <w:bottom w:val="single" w:sz="8" w:color="auto"/>
            </w:tcBorders>
            <w:shd w:val="clear" w:color="auto" w:fill="E0E7ED"/>
          </w:tcPr>
          <w:p>
            <w:pPr>
              <w:spacing w:after="0"/>
              <w:rPr>
                <w:sz w:val="20"/>
                <w:szCs w:val="20"/>
                <w:color w:val="auto"/>
              </w:rPr>
            </w:pP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56,406,500</w:t>
            </w:r>
          </w:p>
        </w:tc>
      </w:tr>
      <w:tr>
        <w:trPr>
          <w:trHeight w:val="20"/>
        </w:trPr>
        <w:tc>
          <w:tcPr>
            <w:tcW w:w="846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8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Basic earnings (loss) per common share</w:t>
            </w:r>
          </w:p>
        </w:tc>
        <w:tc>
          <w:tcPr>
            <w:tcW w:w="320" w:type="dxa"/>
            <w:vAlign w:val="bottom"/>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0.47</w:t>
            </w:r>
          </w:p>
        </w:tc>
      </w:tr>
      <w:tr>
        <w:trPr>
          <w:trHeight w:val="193"/>
        </w:trPr>
        <w:tc>
          <w:tcPr>
            <w:tcW w:w="8460" w:type="dxa"/>
            <w:vAlign w:val="bottom"/>
          </w:tcPr>
          <w:p>
            <w:pPr>
              <w:ind w:left="20"/>
              <w:spacing w:after="0"/>
              <w:rPr>
                <w:sz w:val="20"/>
                <w:szCs w:val="20"/>
                <w:color w:val="auto"/>
              </w:rPr>
            </w:pPr>
            <w:r>
              <w:rPr>
                <w:rFonts w:ascii="Arial" w:cs="Arial" w:eastAsia="Arial" w:hAnsi="Arial"/>
                <w:sz w:val="14"/>
                <w:szCs w:val="14"/>
                <w:color w:val="auto"/>
              </w:rPr>
              <w:t>Diluted earnings (loss) per common share</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0.46</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380" w:hanging="248"/>
        <w:spacing w:after="0" w:line="284" w:lineRule="auto"/>
        <w:tabs>
          <w:tab w:leader="none" w:pos="4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Since the Company was in a net loss position for the three months ended March 31, 2025, the inclusion of all potential common shares outstanding would have been anti-dilutive, so basic net loss per common share is the same as diluted net loss per common share.</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Shares that were excluded from the computation of diluted earnings per common share because their effect would have been anti-dilutive are summarized in the table below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82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spacing w:after="0"/>
              <w:rPr>
                <w:sz w:val="12"/>
                <w:szCs w:val="12"/>
                <w:color w:val="auto"/>
              </w:rPr>
            </w:pPr>
          </w:p>
        </w:tc>
        <w:tc>
          <w:tcPr>
            <w:tcW w:w="136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2024</w:t>
            </w: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Anti-dilutive common stock equivalents</w:t>
            </w:r>
          </w:p>
        </w:tc>
        <w:tc>
          <w:tcPr>
            <w:tcW w:w="136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360" w:type="dxa"/>
            <w:vAlign w:val="bottom"/>
            <w:shd w:val="clear" w:color="auto" w:fill="E0E7ED"/>
          </w:tcPr>
          <w:p>
            <w:pPr>
              <w:spacing w:after="0"/>
              <w:rPr>
                <w:sz w:val="16"/>
                <w:szCs w:val="16"/>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Options</w:t>
            </w:r>
          </w:p>
        </w:tc>
        <w:tc>
          <w:tcPr>
            <w:tcW w:w="1360" w:type="dxa"/>
            <w:vAlign w:val="bottom"/>
          </w:tcPr>
          <w:p>
            <w:pPr>
              <w:jc w:val="right"/>
              <w:spacing w:after="0"/>
              <w:rPr>
                <w:sz w:val="20"/>
                <w:szCs w:val="20"/>
                <w:color w:val="auto"/>
              </w:rPr>
            </w:pPr>
            <w:r>
              <w:rPr>
                <w:rFonts w:ascii="Arial" w:cs="Arial" w:eastAsia="Arial" w:hAnsi="Arial"/>
                <w:sz w:val="14"/>
                <w:szCs w:val="14"/>
                <w:color w:val="auto"/>
              </w:rPr>
              <w:t>15,106</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20,386</w:t>
            </w: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RSU awards</w:t>
            </w:r>
          </w:p>
        </w:tc>
        <w:tc>
          <w:tcPr>
            <w:tcW w:w="13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1,714,130</w:t>
            </w:r>
          </w:p>
        </w:tc>
        <w:tc>
          <w:tcPr>
            <w:tcW w:w="100" w:type="dxa"/>
            <w:vAlign w:val="bottom"/>
            <w:shd w:val="clear" w:color="auto" w:fill="E0E7ED"/>
          </w:tcPr>
          <w:p>
            <w:pPr>
              <w:spacing w:after="0"/>
              <w:rPr>
                <w:sz w:val="19"/>
                <w:szCs w:val="19"/>
                <w:color w:val="auto"/>
              </w:rPr>
            </w:pPr>
          </w:p>
        </w:tc>
        <w:tc>
          <w:tcPr>
            <w:tcW w:w="13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PSU awards</w:t>
            </w:r>
          </w:p>
        </w:tc>
        <w:tc>
          <w:tcPr>
            <w:tcW w:w="1360" w:type="dxa"/>
            <w:vAlign w:val="bottom"/>
          </w:tcPr>
          <w:p>
            <w:pPr>
              <w:jc w:val="right"/>
              <w:spacing w:after="0"/>
              <w:rPr>
                <w:sz w:val="20"/>
                <w:szCs w:val="20"/>
                <w:color w:val="auto"/>
              </w:rPr>
            </w:pPr>
            <w:r>
              <w:rPr>
                <w:rFonts w:ascii="Arial" w:cs="Arial" w:eastAsia="Arial" w:hAnsi="Arial"/>
                <w:sz w:val="14"/>
                <w:szCs w:val="14"/>
                <w:color w:val="auto"/>
              </w:rPr>
              <w:t>576,757</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108,671</w:t>
            </w: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DSU awards</w:t>
            </w:r>
          </w:p>
        </w:tc>
        <w:tc>
          <w:tcPr>
            <w:tcW w:w="13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39,846</w:t>
            </w:r>
          </w:p>
        </w:tc>
        <w:tc>
          <w:tcPr>
            <w:tcW w:w="100" w:type="dxa"/>
            <w:vAlign w:val="bottom"/>
            <w:shd w:val="clear" w:color="auto" w:fill="E0E7ED"/>
          </w:tcPr>
          <w:p>
            <w:pPr>
              <w:spacing w:after="0"/>
              <w:rPr>
                <w:sz w:val="19"/>
                <w:szCs w:val="19"/>
                <w:color w:val="auto"/>
              </w:rPr>
            </w:pPr>
          </w:p>
        </w:tc>
        <w:tc>
          <w:tcPr>
            <w:tcW w:w="13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ESPP</w:t>
            </w:r>
          </w:p>
        </w:tc>
        <w:tc>
          <w:tcPr>
            <w:tcW w:w="1360" w:type="dxa"/>
            <w:vAlign w:val="bottom"/>
          </w:tcPr>
          <w:p>
            <w:pPr>
              <w:jc w:val="right"/>
              <w:spacing w:after="0"/>
              <w:rPr>
                <w:sz w:val="20"/>
                <w:szCs w:val="20"/>
                <w:color w:val="auto"/>
              </w:rPr>
            </w:pPr>
            <w:r>
              <w:rPr>
                <w:rFonts w:ascii="Arial" w:cs="Arial" w:eastAsia="Arial" w:hAnsi="Arial"/>
                <w:sz w:val="14"/>
                <w:szCs w:val="14"/>
                <w:color w:val="auto"/>
              </w:rPr>
              <w:t>33,728</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SSARs</w:t>
            </w:r>
          </w:p>
        </w:tc>
        <w:tc>
          <w:tcPr>
            <w:tcW w:w="13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414,855</w:t>
            </w:r>
          </w:p>
        </w:tc>
        <w:tc>
          <w:tcPr>
            <w:tcW w:w="100" w:type="dxa"/>
            <w:vAlign w:val="bottom"/>
            <w:shd w:val="clear" w:color="auto" w:fill="E0E7ED"/>
          </w:tcPr>
          <w:p>
            <w:pPr>
              <w:spacing w:after="0"/>
              <w:rPr>
                <w:sz w:val="18"/>
                <w:szCs w:val="18"/>
                <w:color w:val="auto"/>
              </w:rPr>
            </w:pPr>
          </w:p>
        </w:tc>
        <w:tc>
          <w:tcPr>
            <w:tcW w:w="13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Total anti-dilutive common stock equivalents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2,794,422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129,057</w:t>
            </w:r>
          </w:p>
        </w:tc>
      </w:tr>
      <w:tr>
        <w:trPr>
          <w:trHeight w:val="20"/>
        </w:trPr>
        <w:tc>
          <w:tcPr>
            <w:tcW w:w="8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Preferred stock and dividends</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March 1, 2025, associated with the CrossFirst acquisition, Busey issued 7,750 shares of Series A Non-Cumulative Perpetual Preferred Stock. No preferred stock dividend has been declared since issuing the Series A Non-Cumulative Perpetual Preferred Stock.</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ACCUMULATED OTHER COMPREHENSIVE INCOME (LOSS)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changes in AOCI by component, net of tax, for the periods indicated:</w:t>
      </w:r>
    </w:p>
    <w:p>
      <w:pPr>
        <w:sectPr>
          <w:pgSz w:w="11900" w:h="16838" w:orient="portrait"/>
          <w:cols w:equalWidth="0" w:num="1">
            <w:col w:w="11280"/>
          </w:cols>
          <w:pgMar w:left="300" w:top="26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(dollars in thousands)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December 31, 2024</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Unrealized holding gains (losses), net</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Amounts reclassified from AOCI, net</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Amortization of unrecognized losses on securities transferred to held to maturity</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March 31,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(dollars in thousands)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December 31, 2023</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Unrealized holding gains (losses), net</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Amounts reclassified from AOCI, net</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Amortization of unrecognized losses on securities transferred to held to maturity</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March 31, 2024</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OPERATING SEGMENTS AND RELATED INFORMATION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880"/>
        <w:spacing w:after="0"/>
        <w:rPr>
          <w:sz w:val="20"/>
          <w:szCs w:val="20"/>
          <w:color w:val="auto"/>
        </w:rPr>
      </w:pPr>
      <w:r>
        <w:rPr>
          <w:rFonts w:ascii="Arial" w:cs="Arial" w:eastAsia="Arial" w:hAnsi="Arial"/>
          <w:sz w:val="11"/>
          <w:szCs w:val="11"/>
          <w:b w:val="1"/>
          <w:bCs w:val="1"/>
          <w:color w:val="auto"/>
        </w:rPr>
        <w:t>Three Months Ended March 31, 2025</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16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rPr>
              <w:t>Unrealized Gains</w:t>
            </w:r>
          </w:p>
        </w:tc>
        <w:tc>
          <w:tcPr>
            <w:tcW w:w="12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gridSpan w:val="2"/>
          </w:tcPr>
          <w:p>
            <w:pPr>
              <w:jc w:val="center"/>
              <w:ind w:right="200"/>
              <w:spacing w:after="0" w:line="107" w:lineRule="exact"/>
              <w:rPr>
                <w:sz w:val="20"/>
                <w:szCs w:val="20"/>
                <w:color w:val="auto"/>
              </w:rPr>
            </w:pPr>
            <w:r>
              <w:rPr>
                <w:rFonts w:ascii="Arial" w:cs="Arial" w:eastAsia="Arial" w:hAnsi="Arial"/>
                <w:sz w:val="11"/>
                <w:szCs w:val="11"/>
                <w:b w:val="1"/>
                <w:bCs w:val="1"/>
                <w:color w:val="auto"/>
              </w:rPr>
              <w:t>Unrecognized Gains</w:t>
            </w:r>
          </w:p>
        </w:tc>
        <w:tc>
          <w:tcPr>
            <w:tcW w:w="16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1"/>
                <w:szCs w:val="11"/>
                <w:b w:val="1"/>
                <w:bCs w:val="1"/>
                <w:color w:val="auto"/>
              </w:rPr>
              <w:t>Unrealized Gains</w:t>
            </w:r>
          </w:p>
        </w:tc>
        <w:tc>
          <w:tcPr>
            <w:tcW w:w="3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60" w:type="dxa"/>
            <w:vAlign w:val="bottom"/>
          </w:tcPr>
          <w:p>
            <w:pPr>
              <w:spacing w:after="0"/>
              <w:rPr>
                <w:sz w:val="10"/>
                <w:szCs w:val="10"/>
                <w:color w:val="auto"/>
              </w:rPr>
            </w:pPr>
          </w:p>
        </w:tc>
        <w:tc>
          <w:tcPr>
            <w:tcW w:w="1280" w:type="dxa"/>
            <w:vAlign w:val="bottom"/>
            <w:gridSpan w:val="2"/>
          </w:tcPr>
          <w:p>
            <w:pPr>
              <w:jc w:val="center"/>
              <w:ind w:right="240"/>
              <w:spacing w:after="0" w:line="117" w:lineRule="exact"/>
              <w:rPr>
                <w:sz w:val="20"/>
                <w:szCs w:val="20"/>
                <w:color w:val="auto"/>
              </w:rPr>
            </w:pPr>
            <w:r>
              <w:rPr>
                <w:rFonts w:ascii="Arial" w:cs="Arial" w:eastAsia="Arial" w:hAnsi="Arial"/>
                <w:sz w:val="11"/>
                <w:szCs w:val="11"/>
                <w:b w:val="1"/>
                <w:bCs w:val="1"/>
                <w:color w:val="auto"/>
              </w:rPr>
              <w:t>(Losses) on Debt</w:t>
            </w:r>
          </w:p>
        </w:tc>
        <w:tc>
          <w:tcPr>
            <w:tcW w:w="120" w:type="dxa"/>
            <w:vAlign w:val="bottom"/>
          </w:tcPr>
          <w:p>
            <w:pPr>
              <w:spacing w:after="0"/>
              <w:rPr>
                <w:sz w:val="10"/>
                <w:szCs w:val="10"/>
                <w:color w:val="auto"/>
              </w:rPr>
            </w:pPr>
          </w:p>
        </w:tc>
        <w:tc>
          <w:tcPr>
            <w:tcW w:w="134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rPr>
              <w:t>(Losses) on Debt</w:t>
            </w:r>
          </w:p>
        </w:tc>
        <w:tc>
          <w:tcPr>
            <w:tcW w:w="1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440" w:type="dxa"/>
            <w:vAlign w:val="bottom"/>
            <w:gridSpan w:val="3"/>
          </w:tcPr>
          <w:p>
            <w:pPr>
              <w:jc w:val="center"/>
              <w:ind w:right="80"/>
              <w:spacing w:after="0" w:line="106" w:lineRule="exact"/>
              <w:rPr>
                <w:sz w:val="20"/>
                <w:szCs w:val="20"/>
                <w:color w:val="auto"/>
              </w:rPr>
            </w:pPr>
            <w:r>
              <w:rPr>
                <w:rFonts w:ascii="Arial" w:cs="Arial" w:eastAsia="Arial" w:hAnsi="Arial"/>
                <w:sz w:val="11"/>
                <w:szCs w:val="11"/>
                <w:b w:val="1"/>
                <w:bCs w:val="1"/>
                <w:color w:val="auto"/>
              </w:rPr>
              <w:t>Securities Available For</w:t>
            </w:r>
          </w:p>
        </w:tc>
        <w:tc>
          <w:tcPr>
            <w:tcW w:w="120" w:type="dxa"/>
            <w:vAlign w:val="bottom"/>
          </w:tcPr>
          <w:p>
            <w:pPr>
              <w:spacing w:after="0"/>
              <w:rPr>
                <w:sz w:val="9"/>
                <w:szCs w:val="9"/>
                <w:color w:val="auto"/>
              </w:rPr>
            </w:pPr>
          </w:p>
        </w:tc>
        <w:tc>
          <w:tcPr>
            <w:tcW w:w="134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rPr>
              <w:t>Securities Held to</w:t>
            </w:r>
          </w:p>
        </w:tc>
        <w:tc>
          <w:tcPr>
            <w:tcW w:w="1460" w:type="dxa"/>
            <w:vAlign w:val="bottom"/>
            <w:gridSpan w:val="3"/>
          </w:tcPr>
          <w:p>
            <w:pPr>
              <w:jc w:val="center"/>
              <w:ind w:right="100"/>
              <w:spacing w:after="0" w:line="106" w:lineRule="exact"/>
              <w:rPr>
                <w:sz w:val="20"/>
                <w:szCs w:val="20"/>
                <w:color w:val="auto"/>
              </w:rPr>
            </w:pPr>
            <w:r>
              <w:rPr>
                <w:rFonts w:ascii="Arial" w:cs="Arial" w:eastAsia="Arial" w:hAnsi="Arial"/>
                <w:sz w:val="11"/>
                <w:szCs w:val="11"/>
                <w:b w:val="1"/>
                <w:bCs w:val="1"/>
                <w:color w:val="auto"/>
              </w:rPr>
              <w:t>(Losses) on Cash Flow</w:t>
            </w:r>
          </w:p>
        </w:tc>
        <w:tc>
          <w:tcPr>
            <w:tcW w:w="320" w:type="dxa"/>
            <w:vAlign w:val="bottom"/>
          </w:tcPr>
          <w:p>
            <w:pPr>
              <w:spacing w:after="0"/>
              <w:rPr>
                <w:sz w:val="9"/>
                <w:szCs w:val="9"/>
                <w:color w:val="auto"/>
              </w:rPr>
            </w:pPr>
          </w:p>
        </w:tc>
        <w:tc>
          <w:tcPr>
            <w:tcW w:w="1040" w:type="dxa"/>
            <w:vAlign w:val="bottom"/>
            <w:vMerge w:val="restart"/>
          </w:tcPr>
          <w:p>
            <w:pPr>
              <w:jc w:val="right"/>
              <w:ind w:right="49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Sale</w:t>
            </w:r>
          </w:p>
        </w:tc>
        <w:tc>
          <w:tcPr>
            <w:tcW w:w="120" w:type="dxa"/>
            <w:vAlign w:val="bottom"/>
          </w:tcPr>
          <w:p>
            <w:pPr>
              <w:spacing w:after="0"/>
              <w:rPr>
                <w:sz w:val="11"/>
                <w:szCs w:val="11"/>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Maturity</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Hedges</w:t>
            </w: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(165,680)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(21,554)</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(19,805)</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(207,039)</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16,581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21,222</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12,879</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3"/>
        </w:trPr>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(137,725)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(21,426)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(13,659)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(172,810)</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Three Months Ended March 31, 2024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0" w:type="dxa"/>
            <w:vAlign w:val="bottom"/>
          </w:tcPr>
          <w:p>
            <w:pPr>
              <w:spacing w:after="0"/>
              <w:rPr>
                <w:sz w:val="9"/>
                <w:szCs w:val="9"/>
                <w:color w:val="auto"/>
              </w:rPr>
            </w:pPr>
          </w:p>
        </w:tc>
        <w:tc>
          <w:tcPr>
            <w:tcW w:w="1280" w:type="dxa"/>
            <w:vAlign w:val="bottom"/>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rPr>
              <w:t>Unrealized Gains</w:t>
            </w:r>
          </w:p>
        </w:tc>
        <w:tc>
          <w:tcPr>
            <w:tcW w:w="120" w:type="dxa"/>
            <w:vAlign w:val="bottom"/>
          </w:tcPr>
          <w:p>
            <w:pPr>
              <w:spacing w:after="0"/>
              <w:rPr>
                <w:sz w:val="9"/>
                <w:szCs w:val="9"/>
                <w:color w:val="auto"/>
              </w:rPr>
            </w:pPr>
          </w:p>
        </w:tc>
        <w:tc>
          <w:tcPr>
            <w:tcW w:w="1340" w:type="dxa"/>
            <w:vAlign w:val="bottom"/>
            <w:gridSpan w:val="2"/>
          </w:tcPr>
          <w:p>
            <w:pPr>
              <w:jc w:val="center"/>
              <w:ind w:right="200"/>
              <w:spacing w:after="0" w:line="107" w:lineRule="exact"/>
              <w:rPr>
                <w:sz w:val="20"/>
                <w:szCs w:val="20"/>
                <w:color w:val="auto"/>
              </w:rPr>
            </w:pPr>
            <w:r>
              <w:rPr>
                <w:rFonts w:ascii="Arial" w:cs="Arial" w:eastAsia="Arial" w:hAnsi="Arial"/>
                <w:sz w:val="11"/>
                <w:szCs w:val="11"/>
                <w:b w:val="1"/>
                <w:bCs w:val="1"/>
                <w:color w:val="auto"/>
              </w:rPr>
              <w:t>Unrecognized Gains</w:t>
            </w:r>
          </w:p>
        </w:tc>
        <w:tc>
          <w:tcPr>
            <w:tcW w:w="16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rPr>
              <w:t>Unrealized Gains</w:t>
            </w: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60" w:type="dxa"/>
            <w:vAlign w:val="bottom"/>
          </w:tcPr>
          <w:p>
            <w:pPr>
              <w:spacing w:after="0"/>
              <w:rPr>
                <w:sz w:val="10"/>
                <w:szCs w:val="10"/>
                <w:color w:val="auto"/>
              </w:rPr>
            </w:pPr>
          </w:p>
        </w:tc>
        <w:tc>
          <w:tcPr>
            <w:tcW w:w="1280" w:type="dxa"/>
            <w:vAlign w:val="bottom"/>
            <w:gridSpan w:val="2"/>
          </w:tcPr>
          <w:p>
            <w:pPr>
              <w:jc w:val="center"/>
              <w:ind w:right="240"/>
              <w:spacing w:after="0" w:line="117" w:lineRule="exact"/>
              <w:rPr>
                <w:sz w:val="20"/>
                <w:szCs w:val="20"/>
                <w:color w:val="auto"/>
              </w:rPr>
            </w:pPr>
            <w:r>
              <w:rPr>
                <w:rFonts w:ascii="Arial" w:cs="Arial" w:eastAsia="Arial" w:hAnsi="Arial"/>
                <w:sz w:val="11"/>
                <w:szCs w:val="11"/>
                <w:b w:val="1"/>
                <w:bCs w:val="1"/>
                <w:color w:val="auto"/>
              </w:rPr>
              <w:t>(Losses) on Debt</w:t>
            </w:r>
          </w:p>
        </w:tc>
        <w:tc>
          <w:tcPr>
            <w:tcW w:w="120" w:type="dxa"/>
            <w:vAlign w:val="bottom"/>
          </w:tcPr>
          <w:p>
            <w:pPr>
              <w:spacing w:after="0"/>
              <w:rPr>
                <w:sz w:val="10"/>
                <w:szCs w:val="10"/>
                <w:color w:val="auto"/>
              </w:rPr>
            </w:pPr>
          </w:p>
        </w:tc>
        <w:tc>
          <w:tcPr>
            <w:tcW w:w="134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rPr>
              <w:t>(Losses) on Debt</w:t>
            </w:r>
          </w:p>
        </w:tc>
        <w:tc>
          <w:tcPr>
            <w:tcW w:w="1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440" w:type="dxa"/>
            <w:vAlign w:val="bottom"/>
            <w:gridSpan w:val="3"/>
          </w:tcPr>
          <w:p>
            <w:pPr>
              <w:jc w:val="center"/>
              <w:ind w:right="80"/>
              <w:spacing w:after="0" w:line="106" w:lineRule="exact"/>
              <w:rPr>
                <w:sz w:val="20"/>
                <w:szCs w:val="20"/>
                <w:color w:val="auto"/>
              </w:rPr>
            </w:pPr>
            <w:r>
              <w:rPr>
                <w:rFonts w:ascii="Arial" w:cs="Arial" w:eastAsia="Arial" w:hAnsi="Arial"/>
                <w:sz w:val="11"/>
                <w:szCs w:val="11"/>
                <w:b w:val="1"/>
                <w:bCs w:val="1"/>
                <w:color w:val="auto"/>
              </w:rPr>
              <w:t>Securities Available For</w:t>
            </w:r>
          </w:p>
        </w:tc>
        <w:tc>
          <w:tcPr>
            <w:tcW w:w="120" w:type="dxa"/>
            <w:vAlign w:val="bottom"/>
          </w:tcPr>
          <w:p>
            <w:pPr>
              <w:spacing w:after="0"/>
              <w:rPr>
                <w:sz w:val="9"/>
                <w:szCs w:val="9"/>
                <w:color w:val="auto"/>
              </w:rPr>
            </w:pPr>
          </w:p>
        </w:tc>
        <w:tc>
          <w:tcPr>
            <w:tcW w:w="134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rPr>
              <w:t>Securities Held to</w:t>
            </w:r>
          </w:p>
        </w:tc>
        <w:tc>
          <w:tcPr>
            <w:tcW w:w="1460" w:type="dxa"/>
            <w:vAlign w:val="bottom"/>
            <w:gridSpan w:val="3"/>
          </w:tcPr>
          <w:p>
            <w:pPr>
              <w:jc w:val="center"/>
              <w:ind w:right="100"/>
              <w:spacing w:after="0" w:line="106" w:lineRule="exact"/>
              <w:rPr>
                <w:sz w:val="20"/>
                <w:szCs w:val="20"/>
                <w:color w:val="auto"/>
              </w:rPr>
            </w:pPr>
            <w:r>
              <w:rPr>
                <w:rFonts w:ascii="Arial" w:cs="Arial" w:eastAsia="Arial" w:hAnsi="Arial"/>
                <w:sz w:val="11"/>
                <w:szCs w:val="11"/>
                <w:b w:val="1"/>
                <w:bCs w:val="1"/>
                <w:color w:val="auto"/>
              </w:rPr>
              <w:t>(Losses) on Cash Flow</w:t>
            </w:r>
          </w:p>
        </w:tc>
        <w:tc>
          <w:tcPr>
            <w:tcW w:w="320" w:type="dxa"/>
            <w:vAlign w:val="bottom"/>
          </w:tcPr>
          <w:p>
            <w:pPr>
              <w:spacing w:after="0"/>
              <w:rPr>
                <w:sz w:val="9"/>
                <w:szCs w:val="9"/>
                <w:color w:val="auto"/>
              </w:rPr>
            </w:pPr>
          </w:p>
        </w:tc>
        <w:tc>
          <w:tcPr>
            <w:tcW w:w="1040" w:type="dxa"/>
            <w:vAlign w:val="bottom"/>
            <w:vMerge w:val="restart"/>
          </w:tcPr>
          <w:p>
            <w:pPr>
              <w:jc w:val="right"/>
              <w:ind w:right="49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Sale</w:t>
            </w:r>
          </w:p>
        </w:tc>
        <w:tc>
          <w:tcPr>
            <w:tcW w:w="120" w:type="dxa"/>
            <w:vAlign w:val="bottom"/>
          </w:tcPr>
          <w:p>
            <w:pPr>
              <w:spacing w:after="0"/>
              <w:rPr>
                <w:sz w:val="11"/>
                <w:szCs w:val="11"/>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Maturity</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Hedges</w:t>
            </w: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(176,636)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(25,473)</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(16,694)</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(218,803)</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(10,913)</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6,517</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3"/>
        </w:trPr>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(177,454)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(24,464)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(20,272)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(222,190)</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-1703705</wp:posOffset>
            </wp:positionV>
            <wp:extent cx="7161530" cy="13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-1434465</wp:posOffset>
            </wp:positionV>
            <wp:extent cx="7161530" cy="154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-1979930</wp:posOffset>
            </wp:positionV>
            <wp:extent cx="7161530" cy="141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-437515</wp:posOffset>
            </wp:positionV>
            <wp:extent cx="7161530" cy="134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-167640</wp:posOffset>
            </wp:positionV>
            <wp:extent cx="7161530" cy="154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-713740</wp:posOffset>
            </wp:positionV>
            <wp:extent cx="7161530" cy="141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505" w:lineRule="exact"/>
        <w:rPr>
          <w:sz w:val="20"/>
          <w:szCs w:val="20"/>
          <w:color w:val="auto"/>
        </w:rPr>
      </w:pPr>
    </w:p>
    <w:p>
      <w:pPr>
        <w:sectPr>
          <w:pgSz w:w="11900" w:h="16838" w:orient="portrait"/>
          <w:cols w:equalWidth="0" w:num="2">
            <w:col w:w="5140" w:space="420"/>
            <w:col w:w="5720"/>
          </w:cols>
          <w:pgMar w:left="300" w:top="263" w:right="319" w:bottom="1440" w:gutter="0" w:footer="0" w:header="0"/>
          <w:type w:val="continuous"/>
        </w:sectPr>
      </w:pPr>
    </w:p>
    <w:p>
      <w:pPr>
        <w:jc w:val="both"/>
        <w:spacing w:after="0" w:line="271" w:lineRule="auto"/>
        <w:rPr>
          <w:sz w:val="20"/>
          <w:szCs w:val="20"/>
          <w:color w:val="auto"/>
        </w:rPr>
      </w:pPr>
      <w:r>
        <w:rPr>
          <w:rFonts w:ascii="Arial" w:cs="Arial" w:eastAsia="Arial" w:hAnsi="Arial"/>
          <w:sz w:val="14"/>
          <w:szCs w:val="14"/>
          <w:color w:val="auto"/>
        </w:rPr>
        <w:t>Busey’s reportable segments are determined by its chief executive officer, who is the designated chief operating decision maker. Busey is organized into three reportable operating segments: Banking, Wealth Management, and FirsTech. These operating segments are strategic business units that are separately managed, as they offer different products and services and have different marketing strategies.</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Banking</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Banking operating segment provides a full range of banking services to individual and corporate customers through First Busey Corporation’s wholly-owned bank subsidiaries, Busey Bank and CrossFirst Bank.</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Busey Bank has 62 banking centers located throughout Illinois; the St. Louis, Missouri metropolitan area; southwest Florida; and Indianapolis, Indiana.</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CrossFirst Bank has 16 banking centers located in Leawood, Kansas; Wichita, Kansas; Kansas City, Missouri; Oklahoma City, Oklahoma; Tulsa, Oklahoma; Dallas, Texas; Fort Worth, Texas; Frisco, Texas; Phoenix, Arizona; Tucson, Arizona; Colorado Springs, Colorado; Denver, Colorado; and Clayton, New Mexico. The newest banking center located in Oklahoma was opened on April 7, 2025.</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CRE, real estate construction, and agricultural loans, as well as commercial depository services such as cash management.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Wealth Management</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Wealth Management operating segment provides a full range of asset management, investment, brokerage, fiduciary, philanthropic advisory, tax preparation, and farm management services to individuals, businesses, and foundations. Services are provided through Busey Capital Management, Inc., a wholly-owned subsidiary of Busey Bank, and Busey Wealth Management, a division of Busey Bank.</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FirsTech</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FirsTech operating segment provides comprehensive and innovative payment technology solutions through Busey Bank’s wholly-owned subsidiary, FirsTech. FirsTech's multi-channel payment platform allows businesses to collect payments from their customers in a variety of ways to enable fast, frictionless payments. Payment method vehicles include, but are not limited to,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merchant services referral solutions serving partner Financial Institutions and their business customers; and lockbox remittance processing for customers to make payments by mail. FirsTech also provides additional tools to help clients with billing, reconciliation, bill reminders, and treasury services.</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FirsTech's client base represents a diverse set of industries, with a higher concentration in highly regulated industries, such as financial institutions, utility, insurance, and telecommunications industries.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Financial Information</w:t>
      </w:r>
    </w:p>
    <w:p>
      <w:pPr>
        <w:spacing w:after="0" w:line="145" w:lineRule="exact"/>
        <w:rPr>
          <w:sz w:val="20"/>
          <w:szCs w:val="20"/>
          <w:color w:val="auto"/>
        </w:rPr>
      </w:pPr>
    </w:p>
    <w:p>
      <w:pPr>
        <w:jc w:val="both"/>
        <w:spacing w:after="0" w:line="271" w:lineRule="auto"/>
        <w:rPr>
          <w:rFonts w:ascii="Arial" w:cs="Arial" w:eastAsia="Arial" w:hAnsi="Arial"/>
          <w:sz w:val="14"/>
          <w:szCs w:val="14"/>
          <w:color w:val="0000FF"/>
        </w:rPr>
      </w:pPr>
      <w:r>
        <w:rPr>
          <w:rFonts w:ascii="Arial" w:cs="Arial" w:eastAsia="Arial" w:hAnsi="Arial"/>
          <w:sz w:val="14"/>
          <w:szCs w:val="14"/>
          <w:color w:val="auto"/>
        </w:rPr>
        <w:t xml:space="preserve">The segment financial information provided below has been derived from information used by management to monitor and manage Busey’s financial performance. The accounting </w:t>
      </w:r>
      <w:hyperlink r:id="rId90">
        <w:r>
          <w:rPr>
            <w:rFonts w:ascii="Arial" w:cs="Arial" w:eastAsia="Arial" w:hAnsi="Arial"/>
            <w:sz w:val="14"/>
            <w:szCs w:val="14"/>
            <w:color w:val="auto"/>
          </w:rPr>
          <w:t>policies of Busey’s operating segments are the same as those described in the summary of significant accounting policies in “</w:t>
        </w:r>
        <w:r>
          <w:rPr>
            <w:rFonts w:ascii="Arial" w:cs="Arial" w:eastAsia="Arial" w:hAnsi="Arial"/>
            <w:sz w:val="14"/>
            <w:szCs w:val="14"/>
            <w:i w:val="1"/>
            <w:iCs w:val="1"/>
            <w:u w:val="single" w:color="auto"/>
            <w:color w:val="0000FF"/>
          </w:rPr>
          <w:t>Note 1. Significant Accounting Policies</w:t>
        </w:r>
        <w:r>
          <w:rPr>
            <w:rFonts w:ascii="Arial" w:cs="Arial" w:eastAsia="Arial" w:hAnsi="Arial"/>
            <w:sz w:val="14"/>
            <w:szCs w:val="14"/>
            <w:color w:val="auto"/>
          </w:rPr>
          <w:t xml:space="preserve">” of </w:t>
        </w:r>
        <w:r>
          <w:rPr>
            <w:rFonts w:ascii="Arial" w:cs="Arial" w:eastAsia="Arial" w:hAnsi="Arial"/>
            <w:sz w:val="14"/>
            <w:szCs w:val="14"/>
            <w:u w:val="single" w:color="auto"/>
            <w:color w:val="0000FF"/>
          </w:rPr>
          <w:t>Busey’s</w:t>
        </w:r>
      </w:hyperlink>
      <w:r>
        <w:rPr>
          <w:rFonts w:ascii="Arial" w:cs="Arial" w:eastAsia="Arial" w:hAnsi="Arial"/>
          <w:sz w:val="14"/>
          <w:szCs w:val="14"/>
          <w:color w:val="auto"/>
        </w:rPr>
        <w:t xml:space="preserve"> </w:t>
      </w:r>
      <w:hyperlink r:id="rId90">
        <w:r>
          <w:rPr>
            <w:rFonts w:ascii="Arial" w:cs="Arial" w:eastAsia="Arial" w:hAnsi="Arial"/>
            <w:sz w:val="14"/>
            <w:szCs w:val="14"/>
            <w:u w:val="single" w:color="auto"/>
            <w:color w:val="0000FF"/>
          </w:rPr>
          <w:t>2024 Annual Report</w:t>
        </w:r>
        <w:r>
          <w:rPr>
            <w:rFonts w:ascii="Arial" w:cs="Arial" w:eastAsia="Arial" w:hAnsi="Arial"/>
            <w:sz w:val="14"/>
            <w:szCs w:val="14"/>
            <w:color w:val="000000"/>
          </w:rPr>
          <w:t>. Busey accounts for intersegment revenue and transfers at current market prices.</w:t>
        </w:r>
      </w:hyperlink>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4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Goodwill and total assets are summarized below by operating segment. The “other” category included in the tables below consists of the parent company and the elimination of intercompany transactions: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As of March 31, 2025</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3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00" w:type="dxa"/>
            <w:vAlign w:val="bottom"/>
            <w:tcBorders>
              <w:bottom w:val="single" w:sz="8" w:color="E0E7ED"/>
            </w:tcBorders>
            <w:gridSpan w:val="2"/>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Banking</w:t>
            </w:r>
          </w:p>
        </w:tc>
        <w:tc>
          <w:tcPr>
            <w:tcW w:w="80" w:type="dxa"/>
            <w:vAlign w:val="bottom"/>
            <w:tcBorders>
              <w:bottom w:val="single" w:sz="8" w:color="E0E7ED"/>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Wealth Management</w:t>
            </w:r>
          </w:p>
        </w:tc>
        <w:tc>
          <w:tcPr>
            <w:tcW w:w="80" w:type="dxa"/>
            <w:vAlign w:val="bottom"/>
            <w:tcBorders>
              <w:bottom w:val="single" w:sz="8" w:color="E0E7ED"/>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55"/>
              <w:spacing w:after="0"/>
              <w:rPr>
                <w:sz w:val="20"/>
                <w:szCs w:val="20"/>
                <w:color w:val="auto"/>
              </w:rPr>
            </w:pPr>
            <w:r>
              <w:rPr>
                <w:rFonts w:ascii="Arial" w:cs="Arial" w:eastAsia="Arial" w:hAnsi="Arial"/>
                <w:sz w:val="11"/>
                <w:szCs w:val="11"/>
                <w:b w:val="1"/>
                <w:bCs w:val="1"/>
                <w:color w:val="auto"/>
              </w:rPr>
              <w:t>FirsTech</w:t>
            </w:r>
          </w:p>
        </w:tc>
        <w:tc>
          <w:tcPr>
            <w:tcW w:w="80" w:type="dxa"/>
            <w:vAlign w:val="bottom"/>
            <w:tcBorders>
              <w:bottom w:val="single" w:sz="8" w:color="E0E7ED"/>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1"/>
                <w:szCs w:val="11"/>
                <w:b w:val="1"/>
                <w:bCs w:val="1"/>
                <w:color w:val="auto"/>
              </w:rPr>
              <w:t>Other</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Total</w:t>
            </w:r>
          </w:p>
        </w:tc>
      </w:tr>
      <w:tr>
        <w:trPr>
          <w:trHeight w:val="203"/>
        </w:trPr>
        <w:tc>
          <w:tcPr>
            <w:tcW w:w="4120" w:type="dxa"/>
            <w:vAlign w:val="bottom"/>
            <w:gridSpan w:val="3"/>
            <w:shd w:val="clear" w:color="auto" w:fill="E0E7ED"/>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E0E7ED"/>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362,039</w:t>
            </w:r>
          </w:p>
        </w:tc>
        <w:tc>
          <w:tcPr>
            <w:tcW w:w="2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120" w:type="dxa"/>
            <w:vAlign w:val="bottom"/>
            <w:gridSpan w:val="2"/>
            <w:shd w:val="clear" w:color="auto" w:fill="E0E7ED"/>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14,108</w:t>
            </w:r>
          </w:p>
        </w:tc>
        <w:tc>
          <w:tcPr>
            <w:tcW w:w="80" w:type="dxa"/>
            <w:vAlign w:val="bottom"/>
            <w:shd w:val="clear" w:color="auto" w:fill="E0E7ED"/>
          </w:tcPr>
          <w:p>
            <w:pPr>
              <w:spacing w:after="0"/>
              <w:rPr>
                <w:sz w:val="17"/>
                <w:szCs w:val="17"/>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8,992</w:t>
            </w:r>
          </w:p>
        </w:tc>
        <w:tc>
          <w:tcPr>
            <w:tcW w:w="80" w:type="dxa"/>
            <w:vAlign w:val="bottom"/>
            <w:shd w:val="clear" w:color="auto" w:fill="E0E7ED"/>
          </w:tcPr>
          <w:p>
            <w:pPr>
              <w:spacing w:after="0"/>
              <w:rPr>
                <w:sz w:val="17"/>
                <w:szCs w:val="17"/>
                <w:color w:val="auto"/>
              </w:rPr>
            </w:pPr>
          </w:p>
        </w:tc>
        <w:tc>
          <w:tcPr>
            <w:tcW w:w="320" w:type="dxa"/>
            <w:vAlign w:val="bottom"/>
            <w:gridSpan w:val="2"/>
            <w:shd w:val="clear" w:color="auto" w:fill="E0E7ED"/>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385,139</w:t>
            </w:r>
          </w:p>
        </w:tc>
      </w:tr>
      <w:tr>
        <w:trPr>
          <w:trHeight w:val="193"/>
        </w:trPr>
        <w:tc>
          <w:tcPr>
            <w:tcW w:w="4120" w:type="dxa"/>
            <w:vAlign w:val="bottom"/>
            <w:gridSpan w:val="3"/>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19,271,919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130,700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46,188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19,464,252</w:t>
            </w:r>
          </w:p>
        </w:tc>
      </w:tr>
      <w:tr>
        <w:trPr>
          <w:trHeight w:val="402"/>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As of December 31, 2024</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39"/>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tcBorders>
              <w:bottom w:val="single" w:sz="8" w:color="E0E7ED"/>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Banking</w:t>
            </w:r>
          </w:p>
        </w:tc>
        <w:tc>
          <w:tcPr>
            <w:tcW w:w="60" w:type="dxa"/>
            <w:vAlign w:val="bottom"/>
            <w:tcBorders>
              <w:bottom w:val="single" w:sz="8" w:color="E0E7ED"/>
            </w:tcBorders>
          </w:tcPr>
          <w:p>
            <w:pPr>
              <w:spacing w:after="0"/>
              <w:rPr>
                <w:sz w:val="12"/>
                <w:szCs w:val="12"/>
                <w:color w:val="auto"/>
              </w:rPr>
            </w:pPr>
          </w:p>
        </w:tc>
        <w:tc>
          <w:tcPr>
            <w:tcW w:w="20" w:type="dxa"/>
            <w:vAlign w:val="bottom"/>
            <w:tcBorders>
              <w:bottom w:val="single" w:sz="8" w:color="E0E7ED"/>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Wealth Management</w:t>
            </w:r>
          </w:p>
        </w:tc>
        <w:tc>
          <w:tcPr>
            <w:tcW w:w="80" w:type="dxa"/>
            <w:vAlign w:val="bottom"/>
            <w:tcBorders>
              <w:bottom w:val="single" w:sz="8" w:color="E0E7ED"/>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5"/>
              <w:spacing w:after="0"/>
              <w:rPr>
                <w:sz w:val="20"/>
                <w:szCs w:val="20"/>
                <w:color w:val="auto"/>
              </w:rPr>
            </w:pPr>
            <w:r>
              <w:rPr>
                <w:rFonts w:ascii="Arial" w:cs="Arial" w:eastAsia="Arial" w:hAnsi="Arial"/>
                <w:sz w:val="11"/>
                <w:szCs w:val="11"/>
                <w:b w:val="1"/>
                <w:bCs w:val="1"/>
                <w:color w:val="auto"/>
              </w:rPr>
              <w:t>FirsTech</w:t>
            </w:r>
          </w:p>
        </w:tc>
        <w:tc>
          <w:tcPr>
            <w:tcW w:w="80" w:type="dxa"/>
            <w:vAlign w:val="bottom"/>
            <w:tcBorders>
              <w:bottom w:val="single" w:sz="8" w:color="E0E7ED"/>
            </w:tcBorders>
          </w:tcPr>
          <w:p>
            <w:pPr>
              <w:spacing w:after="0"/>
              <w:rPr>
                <w:sz w:val="12"/>
                <w:szCs w:val="12"/>
                <w:color w:val="auto"/>
              </w:rPr>
            </w:pPr>
          </w:p>
        </w:tc>
        <w:tc>
          <w:tcPr>
            <w:tcW w:w="20" w:type="dxa"/>
            <w:vAlign w:val="bottom"/>
            <w:tcBorders>
              <w:bottom w:val="single" w:sz="8" w:color="E0E7ED"/>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1"/>
                <w:szCs w:val="11"/>
                <w:b w:val="1"/>
                <w:bCs w:val="1"/>
                <w:color w:val="auto"/>
              </w:rPr>
              <w:t>Other</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Total</w:t>
            </w:r>
          </w:p>
        </w:tc>
      </w:tr>
      <w:tr>
        <w:trPr>
          <w:trHeight w:val="203"/>
        </w:trPr>
        <w:tc>
          <w:tcPr>
            <w:tcW w:w="4120" w:type="dxa"/>
            <w:vAlign w:val="bottom"/>
            <w:gridSpan w:val="3"/>
            <w:shd w:val="clear" w:color="auto" w:fill="E0E7ED"/>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310,595</w:t>
            </w:r>
          </w:p>
        </w:tc>
        <w:tc>
          <w:tcPr>
            <w:tcW w:w="2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120" w:type="dxa"/>
            <w:vAlign w:val="bottom"/>
            <w:gridSpan w:val="2"/>
            <w:shd w:val="clear" w:color="auto" w:fill="E0E7ED"/>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14,108</w:t>
            </w:r>
          </w:p>
        </w:tc>
        <w:tc>
          <w:tcPr>
            <w:tcW w:w="80" w:type="dxa"/>
            <w:vAlign w:val="bottom"/>
            <w:shd w:val="clear" w:color="auto" w:fill="E0E7ED"/>
          </w:tcPr>
          <w:p>
            <w:pPr>
              <w:spacing w:after="0"/>
              <w:rPr>
                <w:sz w:val="17"/>
                <w:szCs w:val="17"/>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8,992</w:t>
            </w:r>
          </w:p>
        </w:tc>
        <w:tc>
          <w:tcPr>
            <w:tcW w:w="80" w:type="dxa"/>
            <w:vAlign w:val="bottom"/>
            <w:shd w:val="clear" w:color="auto" w:fill="E0E7ED"/>
          </w:tcPr>
          <w:p>
            <w:pPr>
              <w:spacing w:after="0"/>
              <w:rPr>
                <w:sz w:val="17"/>
                <w:szCs w:val="17"/>
                <w:color w:val="auto"/>
              </w:rPr>
            </w:pPr>
          </w:p>
        </w:tc>
        <w:tc>
          <w:tcPr>
            <w:tcW w:w="320" w:type="dxa"/>
            <w:vAlign w:val="bottom"/>
            <w:gridSpan w:val="2"/>
            <w:shd w:val="clear" w:color="auto" w:fill="E0E7ED"/>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333,695</w:t>
            </w:r>
          </w:p>
        </w:tc>
      </w:tr>
      <w:tr>
        <w:trPr>
          <w:trHeight w:val="193"/>
        </w:trPr>
        <w:tc>
          <w:tcPr>
            <w:tcW w:w="4120" w:type="dxa"/>
            <w:vAlign w:val="bottom"/>
            <w:gridSpan w:val="3"/>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11,856,651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126,180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57,737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12,046,722</w:t>
            </w:r>
          </w:p>
        </w:tc>
      </w:tr>
    </w:tbl>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Financial results by operating segment, including significant expense categories provided to the chief operating decision maker, are summarized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6"/>
          </w:tcPr>
          <w:p>
            <w:pPr>
              <w:jc w:val="right"/>
              <w:ind w:right="89"/>
              <w:spacing w:after="0"/>
              <w:rPr>
                <w:sz w:val="20"/>
                <w:szCs w:val="20"/>
                <w:color w:val="auto"/>
              </w:rPr>
            </w:pPr>
            <w:r>
              <w:rPr>
                <w:rFonts w:ascii="Arial" w:cs="Arial" w:eastAsia="Arial" w:hAnsi="Arial"/>
                <w:sz w:val="11"/>
                <w:szCs w:val="11"/>
                <w:b w:val="1"/>
                <w:bCs w:val="1"/>
                <w:color w:val="auto"/>
              </w:rPr>
              <w:t>Three Months Ended March 31, 2025</w:t>
            </w: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3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tcBorders>
              <w:bottom w:val="single" w:sz="8" w:color="E0E7ED"/>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Banking</w:t>
            </w:r>
          </w:p>
        </w:tc>
        <w:tc>
          <w:tcPr>
            <w:tcW w:w="80" w:type="dxa"/>
            <w:vAlign w:val="bottom"/>
            <w:tcBorders>
              <w:bottom w:val="single" w:sz="8" w:color="E0E7ED"/>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Wealth Management</w:t>
            </w:r>
          </w:p>
        </w:tc>
        <w:tc>
          <w:tcPr>
            <w:tcW w:w="8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FirsTech</w:t>
            </w:r>
          </w:p>
        </w:tc>
        <w:tc>
          <w:tcPr>
            <w:tcW w:w="80" w:type="dxa"/>
            <w:vAlign w:val="bottom"/>
            <w:tcBorders>
              <w:bottom w:val="single" w:sz="8" w:color="E0E7ED"/>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Other</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Total</w:t>
            </w:r>
          </w:p>
        </w:tc>
      </w:tr>
      <w:tr>
        <w:trPr>
          <w:trHeight w:val="203"/>
        </w:trPr>
        <w:tc>
          <w:tcPr>
            <w:tcW w:w="412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Interest income</w:t>
            </w: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166,812</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E0E7ED"/>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166,815</w:t>
            </w:r>
          </w:p>
        </w:tc>
      </w:tr>
      <w:tr>
        <w:trPr>
          <w:trHeight w:val="202"/>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Intersegment interest income</w:t>
            </w:r>
          </w:p>
        </w:tc>
        <w:tc>
          <w:tcPr>
            <w:tcW w:w="2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412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Interest expense</w:t>
            </w: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58,517</w:t>
            </w:r>
          </w:p>
        </w:tc>
        <w:tc>
          <w:tcPr>
            <w:tcW w:w="8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134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E0E7ED"/>
          </w:tcPr>
          <w:p>
            <w:pPr>
              <w:spacing w:after="0"/>
              <w:rPr>
                <w:sz w:val="19"/>
                <w:szCs w:val="19"/>
                <w:color w:val="auto"/>
              </w:rPr>
            </w:pPr>
          </w:p>
        </w:tc>
        <w:tc>
          <w:tcPr>
            <w:tcW w:w="118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E0E7ED"/>
          </w:tcPr>
          <w:p>
            <w:pPr>
              <w:spacing w:after="0"/>
              <w:rPr>
                <w:sz w:val="19"/>
                <w:szCs w:val="19"/>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4,567</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63,084</w:t>
            </w:r>
          </w:p>
        </w:tc>
      </w:tr>
      <w:tr>
        <w:trPr>
          <w:trHeight w:val="203"/>
        </w:trPr>
        <w:tc>
          <w:tcPr>
            <w:tcW w:w="4120" w:type="dxa"/>
            <w:vAlign w:val="bottom"/>
            <w:tcBorders>
              <w:bottom w:val="single" w:sz="8" w:color="E0E7ED"/>
            </w:tcBorders>
            <w:gridSpan w:val="2"/>
          </w:tcPr>
          <w:p>
            <w:pPr>
              <w:ind w:left="20"/>
              <w:spacing w:after="0"/>
              <w:rPr>
                <w:sz w:val="20"/>
                <w:szCs w:val="20"/>
                <w:color w:val="auto"/>
              </w:rPr>
            </w:pPr>
            <w:r>
              <w:rPr>
                <w:rFonts w:ascii="Arial" w:cs="Arial" w:eastAsia="Arial" w:hAnsi="Arial"/>
                <w:sz w:val="14"/>
                <w:szCs w:val="14"/>
                <w:color w:val="auto"/>
              </w:rPr>
              <w:t>Intersegment interest expense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80" w:type="dxa"/>
            <w:vAlign w:val="bottom"/>
            <w:tcBorders>
              <w:bottom w:val="single" w:sz="8" w:color="E0E7E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412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107,804</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34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(4,086)</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103,731</w:t>
            </w:r>
          </w:p>
        </w:tc>
      </w:tr>
      <w:tr>
        <w:trPr>
          <w:trHeight w:val="203"/>
        </w:trPr>
        <w:tc>
          <w:tcPr>
            <w:tcW w:w="4120" w:type="dxa"/>
            <w:vAlign w:val="bottom"/>
            <w:tcBorders>
              <w:bottom w:val="single" w:sz="8" w:color="E0E7ED"/>
            </w:tcBorders>
            <w:gridSpan w:val="2"/>
          </w:tcPr>
          <w:p>
            <w:pPr>
              <w:ind w:left="140"/>
              <w:spacing w:after="0"/>
              <w:rPr>
                <w:sz w:val="20"/>
                <w:szCs w:val="20"/>
                <w:color w:val="auto"/>
              </w:rPr>
            </w:pPr>
            <w:r>
              <w:rPr>
                <w:rFonts w:ascii="Arial" w:cs="Arial" w:eastAsia="Arial" w:hAnsi="Arial"/>
                <w:sz w:val="14"/>
                <w:szCs w:val="14"/>
                <w:color w:val="auto"/>
              </w:rPr>
              <w:t>Provision for credit losses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42,452</w:t>
            </w:r>
          </w:p>
        </w:tc>
        <w:tc>
          <w:tcPr>
            <w:tcW w:w="80" w:type="dxa"/>
            <w:vAlign w:val="bottom"/>
            <w:tcBorders>
              <w:bottom w:val="single" w:sz="8" w:color="E0E7E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42,452</w:t>
            </w:r>
          </w:p>
        </w:tc>
      </w:tr>
      <w:tr>
        <w:trPr>
          <w:trHeight w:val="203"/>
        </w:trPr>
        <w:tc>
          <w:tcPr>
            <w:tcW w:w="412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Net interest income after provision for credit losses</w:t>
            </w:r>
          </w:p>
        </w:tc>
        <w:tc>
          <w:tcPr>
            <w:tcW w:w="280" w:type="dxa"/>
            <w:vAlign w:val="bottom"/>
            <w:shd w:val="clear" w:color="auto" w:fill="E0E7ED"/>
          </w:tcPr>
          <w:p>
            <w:pPr>
              <w:spacing w:after="0"/>
              <w:rPr>
                <w:sz w:val="17"/>
                <w:szCs w:val="17"/>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65,352</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34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(4,086)</w:t>
            </w: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61,279</w:t>
            </w:r>
          </w:p>
        </w:tc>
      </w:tr>
      <w:tr>
        <w:trPr>
          <w:trHeight w:val="191"/>
        </w:trPr>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12"/>
        </w:trPr>
        <w:tc>
          <w:tcPr>
            <w:tcW w:w="412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9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r>
      <w:tr>
        <w:trPr>
          <w:trHeight w:val="202"/>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Wealth management fees</w:t>
            </w:r>
          </w:p>
        </w:tc>
        <w:tc>
          <w:tcPr>
            <w:tcW w:w="2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17,364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17,364</w:t>
            </w:r>
          </w:p>
        </w:tc>
      </w:tr>
      <w:tr>
        <w:trPr>
          <w:trHeight w:val="222"/>
        </w:trPr>
        <w:tc>
          <w:tcPr>
            <w:tcW w:w="41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Fees for customer services</w:t>
            </w: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8,128</w:t>
            </w:r>
          </w:p>
        </w:tc>
        <w:tc>
          <w:tcPr>
            <w:tcW w:w="8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134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E0E7ED"/>
          </w:tcPr>
          <w:p>
            <w:pPr>
              <w:spacing w:after="0"/>
              <w:rPr>
                <w:sz w:val="19"/>
                <w:szCs w:val="19"/>
                <w:color w:val="auto"/>
              </w:rPr>
            </w:pPr>
          </w:p>
        </w:tc>
        <w:tc>
          <w:tcPr>
            <w:tcW w:w="118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E0E7ED"/>
          </w:tcPr>
          <w:p>
            <w:pPr>
              <w:spacing w:after="0"/>
              <w:rPr>
                <w:sz w:val="19"/>
                <w:szCs w:val="19"/>
                <w:color w:val="auto"/>
              </w:rPr>
            </w:pPr>
          </w:p>
        </w:tc>
        <w:tc>
          <w:tcPr>
            <w:tcW w:w="10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8,128</w:t>
            </w:r>
          </w:p>
        </w:tc>
      </w:tr>
      <w:tr>
        <w:trPr>
          <w:trHeight w:val="202"/>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Payment technology solutions</w:t>
            </w:r>
          </w:p>
        </w:tc>
        <w:tc>
          <w:tcPr>
            <w:tcW w:w="2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5,073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5,073</w:t>
            </w:r>
          </w:p>
        </w:tc>
      </w:tr>
      <w:tr>
        <w:trPr>
          <w:trHeight w:val="222"/>
        </w:trPr>
        <w:tc>
          <w:tcPr>
            <w:tcW w:w="41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All other noninterest income</w:t>
            </w: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(9,248)</w:t>
            </w:r>
          </w:p>
        </w:tc>
        <w:tc>
          <w:tcPr>
            <w:tcW w:w="8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202</w:t>
            </w:r>
          </w:p>
        </w:tc>
        <w:tc>
          <w:tcPr>
            <w:tcW w:w="8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0E7ED"/>
          </w:tcPr>
          <w:p>
            <w:pPr>
              <w:spacing w:after="0"/>
              <w:rPr>
                <w:sz w:val="19"/>
                <w:szCs w:val="19"/>
                <w:color w:val="auto"/>
              </w:rPr>
            </w:pPr>
          </w:p>
        </w:tc>
        <w:tc>
          <w:tcPr>
            <w:tcW w:w="380" w:type="dxa"/>
            <w:vAlign w:val="bottom"/>
            <w:shd w:val="clear" w:color="auto" w:fill="E0E7ED"/>
          </w:tcPr>
          <w:p>
            <w:pPr>
              <w:spacing w:after="0"/>
              <w:rPr>
                <w:sz w:val="19"/>
                <w:szCs w:val="19"/>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(9,342)</w:t>
            </w:r>
          </w:p>
        </w:tc>
      </w:tr>
      <w:tr>
        <w:trPr>
          <w:trHeight w:val="203"/>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Intersegment noninterest income</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120" w:type="dxa"/>
            <w:vAlign w:val="bottom"/>
            <w:tcBorders>
              <w:top w:val="single" w:sz="8" w:color="E0E7ED"/>
            </w:tcBorders>
            <w:gridSpan w:val="2"/>
            <w:shd w:val="clear" w:color="auto" w:fill="E0E7ED"/>
          </w:tcPr>
          <w:p>
            <w:pPr>
              <w:ind w:left="20"/>
              <w:spacing w:after="0"/>
              <w:rPr>
                <w:sz w:val="20"/>
                <w:szCs w:val="20"/>
                <w:color w:val="auto"/>
              </w:rPr>
            </w:pPr>
            <w:r>
              <w:rPr>
                <w:rFonts w:ascii="Arial" w:cs="Arial" w:eastAsia="Arial" w:hAnsi="Arial"/>
                <w:sz w:val="14"/>
                <w:szCs w:val="14"/>
                <w:color w:val="auto"/>
              </w:rPr>
              <w:t>Noninterest income</w:t>
            </w:r>
          </w:p>
        </w:tc>
        <w:tc>
          <w:tcPr>
            <w:tcW w:w="280" w:type="dxa"/>
            <w:vAlign w:val="bottom"/>
            <w:tcBorders>
              <w:top w:val="single" w:sz="8" w:color="auto"/>
              <w:bottom w:val="single" w:sz="8" w:color="auto"/>
            </w:tcBorders>
            <w:shd w:val="clear" w:color="auto" w:fill="E0E7ED"/>
          </w:tcPr>
          <w:p>
            <w:pPr>
              <w:spacing w:after="0"/>
              <w:rPr>
                <w:sz w:val="17"/>
                <w:szCs w:val="17"/>
                <w:color w:val="auto"/>
              </w:rPr>
            </w:pPr>
          </w:p>
        </w:tc>
        <w:tc>
          <w:tcPr>
            <w:tcW w:w="10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(768)</w:t>
            </w:r>
          </w:p>
        </w:tc>
        <w:tc>
          <w:tcPr>
            <w:tcW w:w="80" w:type="dxa"/>
            <w:vAlign w:val="bottom"/>
            <w:tcBorders>
              <w:top w:val="single" w:sz="8" w:color="E0E7ED"/>
            </w:tcBorders>
            <w:shd w:val="clear" w:color="auto" w:fill="E0E7ED"/>
          </w:tcPr>
          <w:p>
            <w:pPr>
              <w:spacing w:after="0"/>
              <w:rPr>
                <w:sz w:val="17"/>
                <w:szCs w:val="17"/>
                <w:color w:val="auto"/>
              </w:rPr>
            </w:pPr>
          </w:p>
        </w:tc>
        <w:tc>
          <w:tcPr>
            <w:tcW w:w="120" w:type="dxa"/>
            <w:vAlign w:val="bottom"/>
            <w:tcBorders>
              <w:top w:val="single" w:sz="8" w:color="auto"/>
              <w:bottom w:val="single" w:sz="8" w:color="auto"/>
            </w:tcBorders>
            <w:shd w:val="clear" w:color="auto" w:fill="E0E7ED"/>
          </w:tcPr>
          <w:p>
            <w:pPr>
              <w:spacing w:after="0"/>
              <w:rPr>
                <w:sz w:val="17"/>
                <w:szCs w:val="17"/>
                <w:color w:val="auto"/>
              </w:rPr>
            </w:pPr>
          </w:p>
        </w:tc>
        <w:tc>
          <w:tcPr>
            <w:tcW w:w="12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17,566</w:t>
            </w:r>
          </w:p>
        </w:tc>
        <w:tc>
          <w:tcPr>
            <w:tcW w:w="8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bottom w:val="single" w:sz="8" w:color="auto"/>
            </w:tcBorders>
            <w:shd w:val="clear" w:color="auto" w:fill="E0E7ED"/>
          </w:tcPr>
          <w:p>
            <w:pPr>
              <w:spacing w:after="0"/>
              <w:rPr>
                <w:sz w:val="17"/>
                <w:szCs w:val="17"/>
                <w:color w:val="auto"/>
              </w:rPr>
            </w:pPr>
          </w:p>
        </w:tc>
        <w:tc>
          <w:tcPr>
            <w:tcW w:w="11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5,416</w:t>
            </w: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bottom w:val="single" w:sz="8" w:color="auto"/>
            </w:tcBorders>
            <w:shd w:val="clear" w:color="auto" w:fill="E0E7ED"/>
          </w:tcPr>
          <w:p>
            <w:pPr>
              <w:spacing w:after="0"/>
              <w:rPr>
                <w:sz w:val="17"/>
                <w:szCs w:val="17"/>
                <w:color w:val="auto"/>
              </w:rPr>
            </w:pPr>
          </w:p>
        </w:tc>
        <w:tc>
          <w:tcPr>
            <w:tcW w:w="9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bottom w:val="single" w:sz="8" w:color="auto"/>
            </w:tcBorders>
            <w:shd w:val="clear" w:color="auto" w:fill="E0E7ED"/>
          </w:tcPr>
          <w:p>
            <w:pPr>
              <w:spacing w:after="0"/>
              <w:rPr>
                <w:sz w:val="17"/>
                <w:szCs w:val="17"/>
                <w:color w:val="auto"/>
              </w:rPr>
            </w:pP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21,223</w:t>
            </w:r>
          </w:p>
        </w:tc>
      </w:tr>
      <w:tr>
        <w:trPr>
          <w:trHeight w:val="202"/>
        </w:trPr>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2"/>
        </w:trPr>
        <w:tc>
          <w:tcPr>
            <w:tcW w:w="412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107,036</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17,566</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5,429</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(5,077)</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124,954</w:t>
            </w:r>
          </w:p>
        </w:tc>
      </w:tr>
      <w:tr>
        <w:trPr>
          <w:trHeight w:val="212"/>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412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9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r>
      <w:tr>
        <w:trPr>
          <w:trHeight w:val="202"/>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Salaries, wages, and employee benefits</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46,726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2,481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67,563</w:t>
            </w:r>
          </w:p>
        </w:tc>
      </w:tr>
      <w:tr>
        <w:trPr>
          <w:trHeight w:val="222"/>
        </w:trPr>
        <w:tc>
          <w:tcPr>
            <w:tcW w:w="41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Data processing</w:t>
            </w: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7,949</w:t>
            </w:r>
          </w:p>
        </w:tc>
        <w:tc>
          <w:tcPr>
            <w:tcW w:w="8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593</w:t>
            </w:r>
          </w:p>
        </w:tc>
        <w:tc>
          <w:tcPr>
            <w:tcW w:w="8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937</w:t>
            </w:r>
          </w:p>
        </w:tc>
        <w:tc>
          <w:tcPr>
            <w:tcW w:w="80" w:type="dxa"/>
            <w:vAlign w:val="bottom"/>
            <w:shd w:val="clear" w:color="auto" w:fill="E0E7ED"/>
          </w:tcPr>
          <w:p>
            <w:pPr>
              <w:spacing w:after="0"/>
              <w:rPr>
                <w:sz w:val="19"/>
                <w:szCs w:val="19"/>
                <w:color w:val="auto"/>
              </w:rPr>
            </w:pPr>
          </w:p>
        </w:tc>
        <w:tc>
          <w:tcPr>
            <w:tcW w:w="380" w:type="dxa"/>
            <w:vAlign w:val="bottom"/>
            <w:shd w:val="clear" w:color="auto" w:fill="E0E7ED"/>
          </w:tcPr>
          <w:p>
            <w:pPr>
              <w:spacing w:after="0"/>
              <w:rPr>
                <w:sz w:val="19"/>
                <w:szCs w:val="19"/>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9,575</w:t>
            </w:r>
          </w:p>
        </w:tc>
      </w:tr>
      <w:tr>
        <w:trPr>
          <w:trHeight w:val="202"/>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3,083</w:t>
            </w:r>
          </w:p>
        </w:tc>
      </w:tr>
      <w:tr>
        <w:trPr>
          <w:trHeight w:val="222"/>
        </w:trPr>
        <w:tc>
          <w:tcPr>
            <w:tcW w:w="41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Interchange expense</w:t>
            </w:r>
          </w:p>
        </w:tc>
        <w:tc>
          <w:tcPr>
            <w:tcW w:w="280" w:type="dxa"/>
            <w:vAlign w:val="bottom"/>
            <w:shd w:val="clear" w:color="auto" w:fill="E0E7ED"/>
          </w:tcPr>
          <w:p>
            <w:pPr>
              <w:spacing w:after="0"/>
              <w:rPr>
                <w:sz w:val="19"/>
                <w:szCs w:val="19"/>
                <w:color w:val="auto"/>
              </w:rPr>
            </w:pPr>
          </w:p>
        </w:tc>
        <w:tc>
          <w:tcPr>
            <w:tcW w:w="11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9"/>
                <w:szCs w:val="19"/>
                <w:color w:val="auto"/>
              </w:rPr>
            </w:pPr>
          </w:p>
        </w:tc>
        <w:tc>
          <w:tcPr>
            <w:tcW w:w="134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1,343</w:t>
            </w:r>
          </w:p>
        </w:tc>
        <w:tc>
          <w:tcPr>
            <w:tcW w:w="80" w:type="dxa"/>
            <w:vAlign w:val="bottom"/>
            <w:shd w:val="clear" w:color="auto" w:fill="E0E7ED"/>
          </w:tcPr>
          <w:p>
            <w:pPr>
              <w:spacing w:after="0"/>
              <w:rPr>
                <w:sz w:val="19"/>
                <w:szCs w:val="19"/>
                <w:color w:val="auto"/>
              </w:rPr>
            </w:pPr>
          </w:p>
        </w:tc>
        <w:tc>
          <w:tcPr>
            <w:tcW w:w="380" w:type="dxa"/>
            <w:vAlign w:val="bottom"/>
            <w:shd w:val="clear" w:color="auto" w:fill="E0E7ED"/>
          </w:tcPr>
          <w:p>
            <w:pPr>
              <w:spacing w:after="0"/>
              <w:rPr>
                <w:sz w:val="19"/>
                <w:szCs w:val="19"/>
                <w:color w:val="auto"/>
              </w:rPr>
            </w:pPr>
          </w:p>
        </w:tc>
        <w:tc>
          <w:tcPr>
            <w:tcW w:w="10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1,343</w:t>
            </w:r>
          </w:p>
        </w:tc>
      </w:tr>
      <w:tr>
        <w:trPr>
          <w:trHeight w:val="202"/>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All other noninterest expense</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33,607</w:t>
            </w:r>
          </w:p>
        </w:tc>
      </w:tr>
      <w:tr>
        <w:trPr>
          <w:trHeight w:val="222"/>
        </w:trPr>
        <w:tc>
          <w:tcPr>
            <w:tcW w:w="41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Intersegment noninterest expense</w:t>
            </w:r>
          </w:p>
        </w:tc>
        <w:tc>
          <w:tcPr>
            <w:tcW w:w="280" w:type="dxa"/>
            <w:vAlign w:val="bottom"/>
            <w:tcBorders>
              <w:bottom w:val="single" w:sz="8" w:color="auto"/>
            </w:tcBorders>
            <w:shd w:val="clear" w:color="auto" w:fill="E0E7ED"/>
          </w:tcPr>
          <w:p>
            <w:pPr>
              <w:spacing w:after="0"/>
              <w:rPr>
                <w:sz w:val="19"/>
                <w:szCs w:val="19"/>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4,665</w:t>
            </w:r>
          </w:p>
        </w:tc>
        <w:tc>
          <w:tcPr>
            <w:tcW w:w="80" w:type="dxa"/>
            <w:vAlign w:val="bottom"/>
            <w:shd w:val="clear" w:color="auto" w:fill="E0E7ED"/>
          </w:tcPr>
          <w:p>
            <w:pPr>
              <w:spacing w:after="0"/>
              <w:rPr>
                <w:sz w:val="19"/>
                <w:szCs w:val="19"/>
                <w:color w:val="auto"/>
              </w:rPr>
            </w:pPr>
          </w:p>
        </w:tc>
        <w:tc>
          <w:tcPr>
            <w:tcW w:w="120" w:type="dxa"/>
            <w:vAlign w:val="bottom"/>
            <w:tcBorders>
              <w:bottom w:val="single" w:sz="8" w:color="auto"/>
            </w:tcBorders>
            <w:shd w:val="clear" w:color="auto" w:fill="E0E7ED"/>
          </w:tcPr>
          <w:p>
            <w:pPr>
              <w:spacing w:after="0"/>
              <w:rPr>
                <w:sz w:val="19"/>
                <w:szCs w:val="19"/>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780</w:t>
            </w:r>
          </w:p>
        </w:tc>
        <w:tc>
          <w:tcPr>
            <w:tcW w:w="80" w:type="dxa"/>
            <w:vAlign w:val="bottom"/>
            <w:shd w:val="clear" w:color="auto" w:fill="E0E7ED"/>
          </w:tcPr>
          <w:p>
            <w:pPr>
              <w:spacing w:after="0"/>
              <w:rPr>
                <w:sz w:val="19"/>
                <w:szCs w:val="19"/>
                <w:color w:val="auto"/>
              </w:rPr>
            </w:pPr>
          </w:p>
        </w:tc>
        <w:tc>
          <w:tcPr>
            <w:tcW w:w="260" w:type="dxa"/>
            <w:vAlign w:val="bottom"/>
            <w:tcBorders>
              <w:bottom w:val="single" w:sz="8" w:color="auto"/>
            </w:tcBorders>
            <w:shd w:val="clear" w:color="auto" w:fill="E0E7ED"/>
          </w:tcPr>
          <w:p>
            <w:pPr>
              <w:spacing w:after="0"/>
              <w:rPr>
                <w:sz w:val="19"/>
                <w:szCs w:val="19"/>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369</w:t>
            </w:r>
          </w:p>
        </w:tc>
        <w:tc>
          <w:tcPr>
            <w:tcW w:w="80" w:type="dxa"/>
            <w:vAlign w:val="bottom"/>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spacing w:after="0"/>
              <w:rPr>
                <w:sz w:val="19"/>
                <w:szCs w:val="19"/>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(5,814)</w:t>
            </w:r>
          </w:p>
        </w:tc>
        <w:tc>
          <w:tcPr>
            <w:tcW w:w="100" w:type="dxa"/>
            <w:vAlign w:val="bottom"/>
            <w:shd w:val="clear" w:color="auto" w:fill="E0E7ED"/>
          </w:tcPr>
          <w:p>
            <w:pPr>
              <w:spacing w:after="0"/>
              <w:rPr>
                <w:sz w:val="19"/>
                <w:szCs w:val="19"/>
                <w:color w:val="auto"/>
              </w:rPr>
            </w:pPr>
          </w:p>
        </w:tc>
        <w:tc>
          <w:tcPr>
            <w:tcW w:w="320" w:type="dxa"/>
            <w:vAlign w:val="bottom"/>
            <w:tcBorders>
              <w:bottom w:val="single" w:sz="8" w:color="auto"/>
            </w:tcBorders>
            <w:shd w:val="clear" w:color="auto" w:fill="E0E7ED"/>
          </w:tcPr>
          <w:p>
            <w:pPr>
              <w:spacing w:after="0"/>
              <w:rPr>
                <w:sz w:val="19"/>
                <w:szCs w:val="19"/>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4120" w:type="dxa"/>
            <w:vAlign w:val="bottom"/>
            <w:tcBorders>
              <w:bottom w:val="single" w:sz="8" w:color="E0E7ED"/>
            </w:tcBorders>
            <w:gridSpan w:val="2"/>
          </w:tcPr>
          <w:p>
            <w:pPr>
              <w:ind w:left="20"/>
              <w:spacing w:after="0"/>
              <w:rPr>
                <w:sz w:val="20"/>
                <w:szCs w:val="20"/>
                <w:color w:val="auto"/>
              </w:rPr>
            </w:pPr>
            <w:r>
              <w:rPr>
                <w:rFonts w:ascii="Arial" w:cs="Arial" w:eastAsia="Arial" w:hAnsi="Arial"/>
                <w:sz w:val="14"/>
                <w:szCs w:val="14"/>
                <w:color w:val="auto"/>
              </w:rPr>
              <w:t>Noninterest expense</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85,147</w:t>
            </w:r>
          </w:p>
        </w:tc>
        <w:tc>
          <w:tcPr>
            <w:tcW w:w="80" w:type="dxa"/>
            <w:vAlign w:val="bottom"/>
            <w:tcBorders>
              <w:bottom w:val="single" w:sz="8" w:color="E0E7E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9,383</w:t>
            </w:r>
          </w:p>
        </w:tc>
        <w:tc>
          <w:tcPr>
            <w:tcW w:w="80" w:type="dxa"/>
            <w:vAlign w:val="bottom"/>
            <w:tcBorders>
              <w:bottom w:val="single" w:sz="8" w:color="E0E7E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5,747</w:t>
            </w:r>
          </w:p>
        </w:tc>
        <w:tc>
          <w:tcPr>
            <w:tcW w:w="80" w:type="dxa"/>
            <w:vAlign w:val="bottom"/>
            <w:tcBorders>
              <w:bottom w:val="single" w:sz="8" w:color="E0E7ED"/>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14,894</w:t>
            </w:r>
          </w:p>
        </w:tc>
        <w:tc>
          <w:tcPr>
            <w:tcW w:w="100" w:type="dxa"/>
            <w:vAlign w:val="bottom"/>
            <w:tcBorders>
              <w:bottom w:val="single" w:sz="8" w:color="E0E7E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115,171</w:t>
            </w:r>
          </w:p>
        </w:tc>
      </w:tr>
      <w:tr>
        <w:trPr>
          <w:trHeight w:val="202"/>
        </w:trPr>
        <w:tc>
          <w:tcPr>
            <w:tcW w:w="40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80" w:type="dxa"/>
            <w:vAlign w:val="bottom"/>
            <w:shd w:val="clear" w:color="auto" w:fill="E0E7ED"/>
          </w:tcPr>
          <w:p>
            <w:pPr>
              <w:spacing w:after="0"/>
              <w:rPr>
                <w:sz w:val="17"/>
                <w:szCs w:val="17"/>
                <w:color w:val="auto"/>
              </w:rPr>
            </w:pPr>
          </w:p>
        </w:tc>
        <w:tc>
          <w:tcPr>
            <w:tcW w:w="10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26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9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r>
      <w:tr>
        <w:trPr>
          <w:trHeight w:val="202"/>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Income (loss) before income taxes</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(20,563)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8,183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(32,669)</w:t>
            </w:r>
          </w:p>
        </w:tc>
      </w:tr>
      <w:tr>
        <w:trPr>
          <w:trHeight w:val="213"/>
        </w:trPr>
        <w:tc>
          <w:tcPr>
            <w:tcW w:w="412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Income taxes</w:t>
            </w: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(870)</w:t>
            </w:r>
          </w:p>
        </w:tc>
        <w:tc>
          <w:tcPr>
            <w:tcW w:w="80" w:type="dxa"/>
            <w:vAlign w:val="bottom"/>
            <w:shd w:val="clear" w:color="auto" w:fill="E0E7ED"/>
          </w:tcPr>
          <w:p>
            <w:pPr>
              <w:spacing w:after="0"/>
              <w:rPr>
                <w:sz w:val="18"/>
                <w:szCs w:val="18"/>
                <w:color w:val="auto"/>
              </w:rPr>
            </w:pPr>
          </w:p>
        </w:tc>
        <w:tc>
          <w:tcPr>
            <w:tcW w:w="120" w:type="dxa"/>
            <w:vAlign w:val="bottom"/>
            <w:tcBorders>
              <w:bottom w:val="single" w:sz="8" w:color="auto"/>
            </w:tcBorders>
            <w:shd w:val="clear" w:color="auto" w:fill="E0E7ED"/>
          </w:tcPr>
          <w:p>
            <w:pPr>
              <w:spacing w:after="0"/>
              <w:rPr>
                <w:sz w:val="18"/>
                <w:szCs w:val="18"/>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1,964</w:t>
            </w:r>
          </w:p>
        </w:tc>
        <w:tc>
          <w:tcPr>
            <w:tcW w:w="80" w:type="dxa"/>
            <w:vAlign w:val="bottom"/>
            <w:shd w:val="clear" w:color="auto" w:fill="E0E7ED"/>
          </w:tcPr>
          <w:p>
            <w:pPr>
              <w:spacing w:after="0"/>
              <w:rPr>
                <w:sz w:val="18"/>
                <w:szCs w:val="18"/>
                <w:color w:val="auto"/>
              </w:rPr>
            </w:pP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(3,694)</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(2,679)</w:t>
            </w:r>
          </w:p>
        </w:tc>
      </w:tr>
      <w:tr>
        <w:trPr>
          <w:trHeight w:val="212"/>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(19,693)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(29,990)</w:t>
            </w: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140" w:type="dxa"/>
            <w:vAlign w:val="bottom"/>
            <w:tcBorders>
              <w:bottom w:val="single" w:sz="8" w:color="auto"/>
            </w:tcBorders>
            <w:gridSpan w:val="6"/>
          </w:tcPr>
          <w:p>
            <w:pPr>
              <w:jc w:val="right"/>
              <w:ind w:right="89"/>
              <w:spacing w:after="0"/>
              <w:rPr>
                <w:sz w:val="20"/>
                <w:szCs w:val="20"/>
                <w:color w:val="auto"/>
              </w:rPr>
            </w:pPr>
            <w:r>
              <w:rPr>
                <w:rFonts w:ascii="Arial" w:cs="Arial" w:eastAsia="Arial" w:hAnsi="Arial"/>
                <w:sz w:val="11"/>
                <w:szCs w:val="11"/>
                <w:b w:val="1"/>
                <w:bCs w:val="1"/>
                <w:color w:val="auto"/>
              </w:rPr>
              <w:t>Three Months Ended March 31, 2024</w:t>
            </w: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3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0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Banking</w:t>
            </w:r>
          </w:p>
        </w:tc>
        <w:tc>
          <w:tcPr>
            <w:tcW w:w="80" w:type="dxa"/>
            <w:vAlign w:val="bottom"/>
            <w:tcBorders>
              <w:bottom w:val="single" w:sz="8" w:color="E0E7ED"/>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Wealth Management</w:t>
            </w:r>
          </w:p>
        </w:tc>
        <w:tc>
          <w:tcPr>
            <w:tcW w:w="80" w:type="dxa"/>
            <w:vAlign w:val="bottom"/>
            <w:tcBorders>
              <w:bottom w:val="single" w:sz="8" w:color="E0E7ED"/>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FirsTech</w:t>
            </w:r>
          </w:p>
        </w:tc>
        <w:tc>
          <w:tcPr>
            <w:tcW w:w="100" w:type="dxa"/>
            <w:vAlign w:val="bottom"/>
            <w:tcBorders>
              <w:bottom w:val="single" w:sz="8" w:color="E0E7ED"/>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Other</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Total</w:t>
            </w:r>
          </w:p>
        </w:tc>
      </w:tr>
      <w:tr>
        <w:trPr>
          <w:trHeight w:val="203"/>
        </w:trPr>
        <w:tc>
          <w:tcPr>
            <w:tcW w:w="414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Interest income</w:t>
            </w:r>
          </w:p>
        </w:tc>
        <w:tc>
          <w:tcPr>
            <w:tcW w:w="26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0E7ED"/>
          </w:tcPr>
          <w:p>
            <w:pPr>
              <w:jc w:val="right"/>
              <w:ind w:right="10"/>
              <w:spacing w:after="0"/>
              <w:rPr>
                <w:sz w:val="20"/>
                <w:szCs w:val="20"/>
                <w:color w:val="auto"/>
              </w:rPr>
            </w:pPr>
            <w:r>
              <w:rPr>
                <w:rFonts w:ascii="Arial" w:cs="Arial" w:eastAsia="Arial" w:hAnsi="Arial"/>
                <w:sz w:val="14"/>
                <w:szCs w:val="14"/>
                <w:color w:val="auto"/>
              </w:rPr>
              <w:t>125,810</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E0E7ED"/>
          </w:tcPr>
          <w:p>
            <w:pPr>
              <w:jc w:val="right"/>
              <w:ind w:right="2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125,820</w:t>
            </w:r>
          </w:p>
        </w:tc>
      </w:tr>
      <w:tr>
        <w:trPr>
          <w:trHeight w:val="202"/>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Intersegment interest income</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414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Interest expense</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ind w:right="10"/>
              <w:spacing w:after="0"/>
              <w:rPr>
                <w:sz w:val="20"/>
                <w:szCs w:val="20"/>
                <w:color w:val="auto"/>
              </w:rPr>
            </w:pPr>
            <w:r>
              <w:rPr>
                <w:rFonts w:ascii="Arial" w:cs="Arial" w:eastAsia="Arial" w:hAnsi="Arial"/>
                <w:sz w:val="14"/>
                <w:szCs w:val="14"/>
                <w:color w:val="auto"/>
              </w:rPr>
              <w:t>45,323</w:t>
            </w:r>
          </w:p>
        </w:tc>
        <w:tc>
          <w:tcPr>
            <w:tcW w:w="8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132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E0E7ED"/>
          </w:tcPr>
          <w:p>
            <w:pPr>
              <w:spacing w:after="0"/>
              <w:rPr>
                <w:sz w:val="19"/>
                <w:szCs w:val="19"/>
                <w:color w:val="auto"/>
              </w:rPr>
            </w:pPr>
          </w:p>
        </w:tc>
        <w:tc>
          <w:tcPr>
            <w:tcW w:w="11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E0E7ED"/>
          </w:tcPr>
          <w:p>
            <w:pPr>
              <w:spacing w:after="0"/>
              <w:rPr>
                <w:sz w:val="19"/>
                <w:szCs w:val="19"/>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4,643</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49,966</w:t>
            </w:r>
          </w:p>
        </w:tc>
      </w:tr>
      <w:tr>
        <w:trPr>
          <w:trHeight w:val="203"/>
        </w:trPr>
        <w:tc>
          <w:tcPr>
            <w:tcW w:w="4140" w:type="dxa"/>
            <w:vAlign w:val="bottom"/>
            <w:tcBorders>
              <w:bottom w:val="single" w:sz="8" w:color="E0E7ED"/>
            </w:tcBorders>
            <w:gridSpan w:val="2"/>
          </w:tcPr>
          <w:p>
            <w:pPr>
              <w:ind w:left="20"/>
              <w:spacing w:after="0"/>
              <w:rPr>
                <w:sz w:val="20"/>
                <w:szCs w:val="20"/>
                <w:color w:val="auto"/>
              </w:rPr>
            </w:pPr>
            <w:r>
              <w:rPr>
                <w:rFonts w:ascii="Arial" w:cs="Arial" w:eastAsia="Arial" w:hAnsi="Arial"/>
                <w:sz w:val="14"/>
                <w:szCs w:val="14"/>
                <w:color w:val="auto"/>
              </w:rPr>
              <w:t>Intersegment interest expense</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867</w:t>
            </w:r>
          </w:p>
        </w:tc>
        <w:tc>
          <w:tcPr>
            <w:tcW w:w="80" w:type="dxa"/>
            <w:vAlign w:val="bottom"/>
            <w:tcBorders>
              <w:bottom w:val="single" w:sz="8" w:color="E0E7E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414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ind w:right="10"/>
              <w:spacing w:after="0"/>
              <w:rPr>
                <w:sz w:val="20"/>
                <w:szCs w:val="20"/>
                <w:color w:val="auto"/>
              </w:rPr>
            </w:pPr>
            <w:r>
              <w:rPr>
                <w:rFonts w:ascii="Arial" w:cs="Arial" w:eastAsia="Arial" w:hAnsi="Arial"/>
                <w:sz w:val="14"/>
                <w:szCs w:val="14"/>
                <w:color w:val="auto"/>
              </w:rPr>
              <w:t>79,620</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32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(3,779)</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75,854</w:t>
            </w:r>
          </w:p>
        </w:tc>
      </w:tr>
      <w:tr>
        <w:trPr>
          <w:trHeight w:val="203"/>
        </w:trPr>
        <w:tc>
          <w:tcPr>
            <w:tcW w:w="4140" w:type="dxa"/>
            <w:vAlign w:val="bottom"/>
            <w:tcBorders>
              <w:bottom w:val="single" w:sz="8" w:color="E0E7ED"/>
            </w:tcBorders>
            <w:gridSpan w:val="2"/>
          </w:tcPr>
          <w:p>
            <w:pPr>
              <w:ind w:left="140"/>
              <w:spacing w:after="0"/>
              <w:rPr>
                <w:sz w:val="20"/>
                <w:szCs w:val="20"/>
                <w:color w:val="auto"/>
              </w:rPr>
            </w:pPr>
            <w:r>
              <w:rPr>
                <w:rFonts w:ascii="Arial" w:cs="Arial" w:eastAsia="Arial" w:hAnsi="Arial"/>
                <w:sz w:val="14"/>
                <w:szCs w:val="14"/>
                <w:color w:val="auto"/>
              </w:rPr>
              <w:t>Provision for credit losses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5,038</w:t>
            </w:r>
          </w:p>
        </w:tc>
        <w:tc>
          <w:tcPr>
            <w:tcW w:w="80" w:type="dxa"/>
            <w:vAlign w:val="bottom"/>
            <w:tcBorders>
              <w:bottom w:val="single" w:sz="8" w:color="E0E7E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5,038</w:t>
            </w:r>
          </w:p>
        </w:tc>
      </w:tr>
      <w:tr>
        <w:trPr>
          <w:trHeight w:val="203"/>
        </w:trPr>
        <w:tc>
          <w:tcPr>
            <w:tcW w:w="414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Net interest income after provision for credit losses</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jc w:val="right"/>
              <w:ind w:right="10"/>
              <w:spacing w:after="0"/>
              <w:rPr>
                <w:sz w:val="20"/>
                <w:szCs w:val="20"/>
                <w:color w:val="auto"/>
              </w:rPr>
            </w:pPr>
            <w:r>
              <w:rPr>
                <w:rFonts w:ascii="Arial" w:cs="Arial" w:eastAsia="Arial" w:hAnsi="Arial"/>
                <w:sz w:val="14"/>
                <w:szCs w:val="14"/>
                <w:color w:val="auto"/>
              </w:rPr>
              <w:t>74,582</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32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E0E7ED"/>
          </w:tcPr>
          <w:p>
            <w:pPr>
              <w:spacing w:after="0"/>
              <w:rPr>
                <w:sz w:val="17"/>
                <w:szCs w:val="17"/>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(3,779)</w:t>
            </w: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70,816</w:t>
            </w:r>
          </w:p>
        </w:tc>
      </w:tr>
      <w:tr>
        <w:trPr>
          <w:trHeight w:val="191"/>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12"/>
        </w:trPr>
        <w:tc>
          <w:tcPr>
            <w:tcW w:w="414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r>
      <w:tr>
        <w:trPr>
          <w:trHeight w:val="202"/>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Wealth management fees</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15,549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15,549</w:t>
            </w:r>
          </w:p>
        </w:tc>
      </w:tr>
      <w:tr>
        <w:trPr>
          <w:trHeight w:val="222"/>
        </w:trPr>
        <w:tc>
          <w:tcPr>
            <w:tcW w:w="414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Fees for customer services</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ind w:right="10"/>
              <w:spacing w:after="0"/>
              <w:rPr>
                <w:sz w:val="20"/>
                <w:szCs w:val="20"/>
                <w:color w:val="auto"/>
              </w:rPr>
            </w:pPr>
            <w:r>
              <w:rPr>
                <w:rFonts w:ascii="Arial" w:cs="Arial" w:eastAsia="Arial" w:hAnsi="Arial"/>
                <w:sz w:val="14"/>
                <w:szCs w:val="14"/>
                <w:color w:val="auto"/>
              </w:rPr>
              <w:t>7,056</w:t>
            </w:r>
          </w:p>
        </w:tc>
        <w:tc>
          <w:tcPr>
            <w:tcW w:w="8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132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E0E7ED"/>
          </w:tcPr>
          <w:p>
            <w:pPr>
              <w:spacing w:after="0"/>
              <w:rPr>
                <w:sz w:val="19"/>
                <w:szCs w:val="19"/>
                <w:color w:val="auto"/>
              </w:rPr>
            </w:pPr>
          </w:p>
        </w:tc>
        <w:tc>
          <w:tcPr>
            <w:tcW w:w="11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E0E7ED"/>
          </w:tcPr>
          <w:p>
            <w:pPr>
              <w:spacing w:after="0"/>
              <w:rPr>
                <w:sz w:val="19"/>
                <w:szCs w:val="19"/>
                <w:color w:val="auto"/>
              </w:rPr>
            </w:pPr>
          </w:p>
        </w:tc>
        <w:tc>
          <w:tcPr>
            <w:tcW w:w="10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7,056</w:t>
            </w:r>
          </w:p>
        </w:tc>
      </w:tr>
      <w:tr>
        <w:trPr>
          <w:trHeight w:val="202"/>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Payment technology solutions</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5,709</w:t>
            </w:r>
          </w:p>
        </w:tc>
      </w:tr>
      <w:tr>
        <w:trPr>
          <w:trHeight w:val="222"/>
        </w:trPr>
        <w:tc>
          <w:tcPr>
            <w:tcW w:w="414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All other noninterest income</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ind w:right="10"/>
              <w:spacing w:after="0"/>
              <w:rPr>
                <w:sz w:val="20"/>
                <w:szCs w:val="20"/>
                <w:color w:val="auto"/>
              </w:rPr>
            </w:pPr>
            <w:r>
              <w:rPr>
                <w:rFonts w:ascii="Arial" w:cs="Arial" w:eastAsia="Arial" w:hAnsi="Arial"/>
                <w:sz w:val="14"/>
                <w:szCs w:val="14"/>
                <w:color w:val="auto"/>
              </w:rPr>
              <w:t>6,013</w:t>
            </w:r>
          </w:p>
        </w:tc>
        <w:tc>
          <w:tcPr>
            <w:tcW w:w="8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163</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1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E0E7ED"/>
          </w:tcPr>
          <w:p>
            <w:pPr>
              <w:spacing w:after="0"/>
              <w:rPr>
                <w:sz w:val="19"/>
                <w:szCs w:val="19"/>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6,599</w:t>
            </w:r>
          </w:p>
        </w:tc>
      </w:tr>
      <w:tr>
        <w:trPr>
          <w:trHeight w:val="203"/>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Intersegment noninterest income</w:t>
            </w:r>
          </w:p>
        </w:tc>
        <w:tc>
          <w:tcPr>
            <w:tcW w:w="260" w:type="dxa"/>
            <w:vAlign w:val="bottom"/>
          </w:tcPr>
          <w:p>
            <w:pPr>
              <w:spacing w:after="0"/>
              <w:rPr>
                <w:sz w:val="17"/>
                <w:szCs w:val="17"/>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140" w:type="dxa"/>
            <w:vAlign w:val="bottom"/>
            <w:tcBorders>
              <w:top w:val="single" w:sz="8" w:color="E0E7ED"/>
            </w:tcBorders>
            <w:gridSpan w:val="2"/>
            <w:shd w:val="clear" w:color="auto" w:fill="E0E7ED"/>
          </w:tcPr>
          <w:p>
            <w:pPr>
              <w:ind w:left="20"/>
              <w:spacing w:after="0"/>
              <w:rPr>
                <w:sz w:val="20"/>
                <w:szCs w:val="20"/>
                <w:color w:val="auto"/>
              </w:rPr>
            </w:pPr>
            <w:r>
              <w:rPr>
                <w:rFonts w:ascii="Arial" w:cs="Arial" w:eastAsia="Arial" w:hAnsi="Arial"/>
                <w:sz w:val="14"/>
                <w:szCs w:val="14"/>
                <w:color w:val="auto"/>
              </w:rPr>
              <w:t>Noninterest income</w:t>
            </w:r>
          </w:p>
        </w:tc>
        <w:tc>
          <w:tcPr>
            <w:tcW w:w="260" w:type="dxa"/>
            <w:vAlign w:val="bottom"/>
            <w:tcBorders>
              <w:top w:val="single" w:sz="8" w:color="auto"/>
              <w:bottom w:val="single" w:sz="8" w:color="auto"/>
            </w:tcBorders>
            <w:shd w:val="clear" w:color="auto" w:fill="E0E7ED"/>
          </w:tcPr>
          <w:p>
            <w:pPr>
              <w:spacing w:after="0"/>
              <w:rPr>
                <w:sz w:val="17"/>
                <w:szCs w:val="17"/>
                <w:color w:val="auto"/>
              </w:rPr>
            </w:pPr>
          </w:p>
        </w:tc>
        <w:tc>
          <w:tcPr>
            <w:tcW w:w="1100" w:type="dxa"/>
            <w:vAlign w:val="bottom"/>
            <w:tcBorders>
              <w:top w:val="single" w:sz="8" w:color="auto"/>
              <w:bottom w:val="single" w:sz="8" w:color="auto"/>
            </w:tcBorders>
            <w:shd w:val="clear" w:color="auto" w:fill="E0E7ED"/>
          </w:tcPr>
          <w:p>
            <w:pPr>
              <w:jc w:val="right"/>
              <w:ind w:right="10"/>
              <w:spacing w:after="0"/>
              <w:rPr>
                <w:sz w:val="20"/>
                <w:szCs w:val="20"/>
                <w:color w:val="auto"/>
              </w:rPr>
            </w:pPr>
            <w:r>
              <w:rPr>
                <w:rFonts w:ascii="Arial" w:cs="Arial" w:eastAsia="Arial" w:hAnsi="Arial"/>
                <w:sz w:val="14"/>
                <w:szCs w:val="14"/>
                <w:color w:val="auto"/>
              </w:rPr>
              <w:t>13,385</w:t>
            </w:r>
          </w:p>
        </w:tc>
        <w:tc>
          <w:tcPr>
            <w:tcW w:w="80" w:type="dxa"/>
            <w:vAlign w:val="bottom"/>
            <w:tcBorders>
              <w:top w:val="single" w:sz="8" w:color="E0E7ED"/>
            </w:tcBorders>
            <w:shd w:val="clear" w:color="auto" w:fill="E0E7ED"/>
          </w:tcPr>
          <w:p>
            <w:pPr>
              <w:spacing w:after="0"/>
              <w:rPr>
                <w:sz w:val="17"/>
                <w:szCs w:val="17"/>
                <w:color w:val="auto"/>
              </w:rPr>
            </w:pPr>
          </w:p>
        </w:tc>
        <w:tc>
          <w:tcPr>
            <w:tcW w:w="120" w:type="dxa"/>
            <w:vAlign w:val="bottom"/>
            <w:tcBorders>
              <w:top w:val="single" w:sz="8" w:color="auto"/>
              <w:bottom w:val="single" w:sz="8" w:color="auto"/>
            </w:tcBorders>
            <w:shd w:val="clear" w:color="auto" w:fill="E0E7ED"/>
          </w:tcPr>
          <w:p>
            <w:pPr>
              <w:spacing w:after="0"/>
              <w:rPr>
                <w:sz w:val="17"/>
                <w:szCs w:val="17"/>
                <w:color w:val="auto"/>
              </w:rPr>
            </w:pPr>
          </w:p>
        </w:tc>
        <w:tc>
          <w:tcPr>
            <w:tcW w:w="12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15,712</w:t>
            </w:r>
          </w:p>
        </w:tc>
        <w:tc>
          <w:tcPr>
            <w:tcW w:w="80" w:type="dxa"/>
            <w:vAlign w:val="bottom"/>
            <w:tcBorders>
              <w:top w:val="single" w:sz="8" w:color="E0E7ED"/>
            </w:tcBorders>
            <w:shd w:val="clear" w:color="auto" w:fill="E0E7ED"/>
          </w:tcPr>
          <w:p>
            <w:pPr>
              <w:spacing w:after="0"/>
              <w:rPr>
                <w:sz w:val="17"/>
                <w:szCs w:val="17"/>
                <w:color w:val="auto"/>
              </w:rPr>
            </w:pPr>
          </w:p>
        </w:tc>
        <w:tc>
          <w:tcPr>
            <w:tcW w:w="280" w:type="dxa"/>
            <w:vAlign w:val="bottom"/>
            <w:tcBorders>
              <w:top w:val="single" w:sz="8" w:color="auto"/>
              <w:bottom w:val="single" w:sz="8" w:color="auto"/>
            </w:tcBorders>
            <w:shd w:val="clear" w:color="auto" w:fill="E0E7ED"/>
          </w:tcPr>
          <w:p>
            <w:pPr>
              <w:spacing w:after="0"/>
              <w:rPr>
                <w:sz w:val="17"/>
                <w:szCs w:val="17"/>
                <w:color w:val="auto"/>
              </w:rPr>
            </w:pPr>
          </w:p>
        </w:tc>
        <w:tc>
          <w:tcPr>
            <w:tcW w:w="10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5,971</w:t>
            </w:r>
          </w:p>
        </w:tc>
        <w:tc>
          <w:tcPr>
            <w:tcW w:w="10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bottom w:val="single" w:sz="8" w:color="auto"/>
            </w:tcBorders>
            <w:shd w:val="clear" w:color="auto" w:fill="E0E7ED"/>
          </w:tcPr>
          <w:p>
            <w:pPr>
              <w:spacing w:after="0"/>
              <w:rPr>
                <w:sz w:val="17"/>
                <w:szCs w:val="17"/>
                <w:color w:val="auto"/>
              </w:rPr>
            </w:pPr>
          </w:p>
        </w:tc>
        <w:tc>
          <w:tcPr>
            <w:tcW w:w="9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bottom w:val="single" w:sz="8" w:color="auto"/>
            </w:tcBorders>
            <w:shd w:val="clear" w:color="auto" w:fill="E0E7ED"/>
          </w:tcPr>
          <w:p>
            <w:pPr>
              <w:spacing w:after="0"/>
              <w:rPr>
                <w:sz w:val="17"/>
                <w:szCs w:val="17"/>
                <w:color w:val="auto"/>
              </w:rPr>
            </w:pP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34,913</w:t>
            </w:r>
          </w:p>
        </w:tc>
      </w:tr>
      <w:tr>
        <w:trPr>
          <w:trHeight w:val="202"/>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2"/>
        </w:trPr>
        <w:tc>
          <w:tcPr>
            <w:tcW w:w="414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Revenue</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ind w:right="10"/>
              <w:spacing w:after="0"/>
              <w:rPr>
                <w:sz w:val="20"/>
                <w:szCs w:val="20"/>
                <w:color w:val="auto"/>
              </w:rPr>
            </w:pPr>
            <w:r>
              <w:rPr>
                <w:rFonts w:ascii="Arial" w:cs="Arial" w:eastAsia="Arial" w:hAnsi="Arial"/>
                <w:sz w:val="14"/>
                <w:szCs w:val="14"/>
                <w:color w:val="auto"/>
              </w:rPr>
              <w:t>93,005</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15,712</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5,984</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(3,934)</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110,767</w:t>
            </w:r>
          </w:p>
        </w:tc>
      </w:tr>
      <w:tr>
        <w:trPr>
          <w:trHeight w:val="212"/>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4140" w:type="dxa"/>
            <w:vAlign w:val="bottom"/>
            <w:gridSpan w:val="2"/>
            <w:shd w:val="clear" w:color="auto" w:fill="E0E7ED"/>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r>
      <w:tr>
        <w:trPr>
          <w:trHeight w:val="202"/>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Salaries, wages, and employee benefits</w:t>
            </w:r>
          </w:p>
        </w:tc>
        <w:tc>
          <w:tcPr>
            <w:tcW w:w="260" w:type="dxa"/>
            <w:vAlign w:val="bottom"/>
          </w:tcPr>
          <w:p>
            <w:pPr>
              <w:spacing w:after="0"/>
              <w:rPr>
                <w:sz w:val="17"/>
                <w:szCs w:val="17"/>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27,361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6,759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42,090</w:t>
            </w:r>
          </w:p>
        </w:tc>
      </w:tr>
      <w:tr>
        <w:trPr>
          <w:trHeight w:val="222"/>
        </w:trPr>
        <w:tc>
          <w:tcPr>
            <w:tcW w:w="414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Data processing</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ind w:right="10"/>
              <w:spacing w:after="0"/>
              <w:rPr>
                <w:sz w:val="20"/>
                <w:szCs w:val="20"/>
                <w:color w:val="auto"/>
              </w:rPr>
            </w:pPr>
            <w:r>
              <w:rPr>
                <w:rFonts w:ascii="Arial" w:cs="Arial" w:eastAsia="Arial" w:hAnsi="Arial"/>
                <w:sz w:val="14"/>
                <w:szCs w:val="14"/>
                <w:color w:val="auto"/>
              </w:rPr>
              <w:t>5,033</w:t>
            </w:r>
          </w:p>
        </w:tc>
        <w:tc>
          <w:tcPr>
            <w:tcW w:w="8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516</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858</w:t>
            </w:r>
          </w:p>
        </w:tc>
        <w:tc>
          <w:tcPr>
            <w:tcW w:w="10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9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6,550</w:t>
            </w:r>
          </w:p>
        </w:tc>
      </w:tr>
      <w:tr>
        <w:trPr>
          <w:trHeight w:val="202"/>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Pr>
          <w:p>
            <w:pPr>
              <w:spacing w:after="0"/>
              <w:rPr>
                <w:sz w:val="17"/>
                <w:szCs w:val="17"/>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2,102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2,409</w:t>
            </w:r>
          </w:p>
        </w:tc>
      </w:tr>
      <w:tr>
        <w:trPr>
          <w:trHeight w:val="222"/>
        </w:trPr>
        <w:tc>
          <w:tcPr>
            <w:tcW w:w="414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Interchange expense</w:t>
            </w:r>
          </w:p>
        </w:tc>
        <w:tc>
          <w:tcPr>
            <w:tcW w:w="260" w:type="dxa"/>
            <w:vAlign w:val="bottom"/>
            <w:shd w:val="clear" w:color="auto" w:fill="E0E7ED"/>
          </w:tcPr>
          <w:p>
            <w:pPr>
              <w:spacing w:after="0"/>
              <w:rPr>
                <w:sz w:val="19"/>
                <w:szCs w:val="19"/>
                <w:color w:val="auto"/>
              </w:rPr>
            </w:pPr>
          </w:p>
        </w:tc>
        <w:tc>
          <w:tcPr>
            <w:tcW w:w="11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9"/>
                <w:szCs w:val="19"/>
                <w:color w:val="auto"/>
              </w:rPr>
            </w:pPr>
          </w:p>
        </w:tc>
        <w:tc>
          <w:tcPr>
            <w:tcW w:w="132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1,611</w:t>
            </w:r>
          </w:p>
        </w:tc>
        <w:tc>
          <w:tcPr>
            <w:tcW w:w="10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0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1,611</w:t>
            </w:r>
          </w:p>
        </w:tc>
      </w:tr>
      <w:tr>
        <w:trPr>
          <w:trHeight w:val="202"/>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All other noninterest expense</w:t>
            </w:r>
          </w:p>
        </w:tc>
        <w:tc>
          <w:tcPr>
            <w:tcW w:w="260" w:type="dxa"/>
            <w:vAlign w:val="bottom"/>
          </w:tcPr>
          <w:p>
            <w:pPr>
              <w:spacing w:after="0"/>
              <w:rPr>
                <w:sz w:val="17"/>
                <w:szCs w:val="17"/>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15,014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18,109</w:t>
            </w:r>
          </w:p>
        </w:tc>
      </w:tr>
      <w:tr>
        <w:trPr>
          <w:trHeight w:val="222"/>
        </w:trPr>
        <w:tc>
          <w:tcPr>
            <w:tcW w:w="414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Intersegment noninterest expense</w:t>
            </w:r>
          </w:p>
        </w:tc>
        <w:tc>
          <w:tcPr>
            <w:tcW w:w="260" w:type="dxa"/>
            <w:vAlign w:val="bottom"/>
            <w:tcBorders>
              <w:bottom w:val="single" w:sz="8" w:color="auto"/>
            </w:tcBorders>
            <w:shd w:val="clear" w:color="auto" w:fill="E0E7ED"/>
          </w:tcPr>
          <w:p>
            <w:pPr>
              <w:spacing w:after="0"/>
              <w:rPr>
                <w:sz w:val="19"/>
                <w:szCs w:val="19"/>
                <w:color w:val="auto"/>
              </w:rPr>
            </w:pPr>
          </w:p>
        </w:tc>
        <w:tc>
          <w:tcPr>
            <w:tcW w:w="1100" w:type="dxa"/>
            <w:vAlign w:val="bottom"/>
            <w:tcBorders>
              <w:bottom w:val="single" w:sz="8" w:color="auto"/>
            </w:tcBorders>
            <w:shd w:val="clear" w:color="auto" w:fill="E0E7ED"/>
          </w:tcPr>
          <w:p>
            <w:pPr>
              <w:jc w:val="right"/>
              <w:ind w:right="10"/>
              <w:spacing w:after="0"/>
              <w:rPr>
                <w:sz w:val="20"/>
                <w:szCs w:val="20"/>
                <w:color w:val="auto"/>
              </w:rPr>
            </w:pPr>
            <w:r>
              <w:rPr>
                <w:rFonts w:ascii="Arial" w:cs="Arial" w:eastAsia="Arial" w:hAnsi="Arial"/>
                <w:sz w:val="14"/>
                <w:szCs w:val="14"/>
                <w:color w:val="auto"/>
              </w:rPr>
              <w:t>2,877</w:t>
            </w:r>
          </w:p>
        </w:tc>
        <w:tc>
          <w:tcPr>
            <w:tcW w:w="80" w:type="dxa"/>
            <w:vAlign w:val="bottom"/>
            <w:shd w:val="clear" w:color="auto" w:fill="E0E7ED"/>
          </w:tcPr>
          <w:p>
            <w:pPr>
              <w:spacing w:after="0"/>
              <w:rPr>
                <w:sz w:val="19"/>
                <w:szCs w:val="19"/>
                <w:color w:val="auto"/>
              </w:rPr>
            </w:pPr>
          </w:p>
        </w:tc>
        <w:tc>
          <w:tcPr>
            <w:tcW w:w="120" w:type="dxa"/>
            <w:vAlign w:val="bottom"/>
            <w:tcBorders>
              <w:bottom w:val="single" w:sz="8" w:color="auto"/>
            </w:tcBorders>
            <w:shd w:val="clear" w:color="auto" w:fill="E0E7ED"/>
          </w:tcPr>
          <w:p>
            <w:pPr>
              <w:spacing w:after="0"/>
              <w:rPr>
                <w:sz w:val="19"/>
                <w:szCs w:val="19"/>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774</w:t>
            </w:r>
          </w:p>
        </w:tc>
        <w:tc>
          <w:tcPr>
            <w:tcW w:w="80" w:type="dxa"/>
            <w:vAlign w:val="bottom"/>
            <w:shd w:val="clear" w:color="auto" w:fill="E0E7ED"/>
          </w:tcPr>
          <w:p>
            <w:pPr>
              <w:spacing w:after="0"/>
              <w:rPr>
                <w:sz w:val="19"/>
                <w:szCs w:val="19"/>
                <w:color w:val="auto"/>
              </w:rPr>
            </w:pPr>
          </w:p>
        </w:tc>
        <w:tc>
          <w:tcPr>
            <w:tcW w:w="280" w:type="dxa"/>
            <w:vAlign w:val="bottom"/>
            <w:tcBorders>
              <w:bottom w:val="single" w:sz="8" w:color="auto"/>
            </w:tcBorders>
            <w:shd w:val="clear" w:color="auto" w:fill="E0E7ED"/>
          </w:tcPr>
          <w:p>
            <w:pPr>
              <w:spacing w:after="0"/>
              <w:rPr>
                <w:sz w:val="19"/>
                <w:szCs w:val="19"/>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E0E7ED"/>
          </w:tcPr>
          <w:p>
            <w:pPr>
              <w:spacing w:after="0"/>
              <w:rPr>
                <w:sz w:val="19"/>
                <w:szCs w:val="19"/>
                <w:color w:val="auto"/>
              </w:rPr>
            </w:pPr>
          </w:p>
        </w:tc>
        <w:tc>
          <w:tcPr>
            <w:tcW w:w="360" w:type="dxa"/>
            <w:vAlign w:val="bottom"/>
            <w:tcBorders>
              <w:bottom w:val="single" w:sz="8" w:color="auto"/>
            </w:tcBorders>
            <w:shd w:val="clear" w:color="auto" w:fill="E0E7ED"/>
          </w:tcPr>
          <w:p>
            <w:pPr>
              <w:spacing w:after="0"/>
              <w:rPr>
                <w:sz w:val="19"/>
                <w:szCs w:val="19"/>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(4,014)</w:t>
            </w:r>
          </w:p>
        </w:tc>
        <w:tc>
          <w:tcPr>
            <w:tcW w:w="100" w:type="dxa"/>
            <w:vAlign w:val="bottom"/>
            <w:shd w:val="clear" w:color="auto" w:fill="E0E7ED"/>
          </w:tcPr>
          <w:p>
            <w:pPr>
              <w:spacing w:after="0"/>
              <w:rPr>
                <w:sz w:val="19"/>
                <w:szCs w:val="19"/>
                <w:color w:val="auto"/>
              </w:rPr>
            </w:pPr>
          </w:p>
        </w:tc>
        <w:tc>
          <w:tcPr>
            <w:tcW w:w="320" w:type="dxa"/>
            <w:vAlign w:val="bottom"/>
            <w:tcBorders>
              <w:bottom w:val="single" w:sz="8" w:color="auto"/>
            </w:tcBorders>
            <w:shd w:val="clear" w:color="auto" w:fill="E0E7ED"/>
          </w:tcPr>
          <w:p>
            <w:pPr>
              <w:spacing w:after="0"/>
              <w:rPr>
                <w:sz w:val="19"/>
                <w:szCs w:val="19"/>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4140" w:type="dxa"/>
            <w:vAlign w:val="bottom"/>
            <w:tcBorders>
              <w:bottom w:val="single" w:sz="8" w:color="E0E7ED"/>
            </w:tcBorders>
            <w:gridSpan w:val="2"/>
          </w:tcPr>
          <w:p>
            <w:pPr>
              <w:ind w:left="20"/>
              <w:spacing w:after="0"/>
              <w:rPr>
                <w:sz w:val="20"/>
                <w:szCs w:val="20"/>
                <w:color w:val="auto"/>
              </w:rPr>
            </w:pPr>
            <w:r>
              <w:rPr>
                <w:rFonts w:ascii="Arial" w:cs="Arial" w:eastAsia="Arial" w:hAnsi="Arial"/>
                <w:sz w:val="14"/>
                <w:szCs w:val="14"/>
                <w:color w:val="auto"/>
              </w:rPr>
              <w:t>Noninterest expense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52,387</w:t>
            </w:r>
          </w:p>
        </w:tc>
        <w:tc>
          <w:tcPr>
            <w:tcW w:w="80" w:type="dxa"/>
            <w:vAlign w:val="bottom"/>
            <w:tcBorders>
              <w:bottom w:val="single" w:sz="8" w:color="E0E7E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9,136</w:t>
            </w:r>
          </w:p>
        </w:tc>
        <w:tc>
          <w:tcPr>
            <w:tcW w:w="80" w:type="dxa"/>
            <w:vAlign w:val="bottom"/>
            <w:tcBorders>
              <w:bottom w:val="single" w:sz="8" w:color="E0E7E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5,866</w:t>
            </w:r>
          </w:p>
        </w:tc>
        <w:tc>
          <w:tcPr>
            <w:tcW w:w="100" w:type="dxa"/>
            <w:vAlign w:val="bottom"/>
            <w:tcBorders>
              <w:bottom w:val="single" w:sz="8" w:color="E0E7E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3,380</w:t>
            </w:r>
          </w:p>
        </w:tc>
        <w:tc>
          <w:tcPr>
            <w:tcW w:w="100" w:type="dxa"/>
            <w:vAlign w:val="bottom"/>
            <w:tcBorders>
              <w:bottom w:val="single" w:sz="8" w:color="E0E7E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70,769</w:t>
            </w:r>
          </w:p>
        </w:tc>
      </w:tr>
      <w:tr>
        <w:trPr>
          <w:trHeight w:val="202"/>
        </w:trPr>
        <w:tc>
          <w:tcPr>
            <w:tcW w:w="404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2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80" w:type="dxa"/>
            <w:vAlign w:val="bottom"/>
            <w:shd w:val="clear" w:color="auto" w:fill="E0E7ED"/>
          </w:tcPr>
          <w:p>
            <w:pPr>
              <w:spacing w:after="0"/>
              <w:rPr>
                <w:sz w:val="17"/>
                <w:szCs w:val="17"/>
                <w:color w:val="auto"/>
              </w:rPr>
            </w:pPr>
          </w:p>
        </w:tc>
        <w:tc>
          <w:tcPr>
            <w:tcW w:w="10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9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r>
      <w:tr>
        <w:trPr>
          <w:trHeight w:val="202"/>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17"/>
                <w:szCs w:val="17"/>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35,580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6,576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34,960</w:t>
            </w:r>
          </w:p>
        </w:tc>
      </w:tr>
      <w:tr>
        <w:trPr>
          <w:trHeight w:val="213"/>
        </w:trPr>
        <w:tc>
          <w:tcPr>
            <w:tcW w:w="4140" w:type="dxa"/>
            <w:vAlign w:val="bottom"/>
            <w:gridSpan w:val="2"/>
            <w:shd w:val="clear" w:color="auto" w:fill="E0E7ED"/>
          </w:tcPr>
          <w:p>
            <w:pPr>
              <w:ind w:left="140"/>
              <w:spacing w:after="0"/>
              <w:rPr>
                <w:sz w:val="20"/>
                <w:szCs w:val="20"/>
                <w:color w:val="auto"/>
              </w:rPr>
            </w:pPr>
            <w:r>
              <w:rPr>
                <w:rFonts w:ascii="Arial" w:cs="Arial" w:eastAsia="Arial" w:hAnsi="Arial"/>
                <w:sz w:val="14"/>
                <w:szCs w:val="14"/>
                <w:color w:val="auto"/>
              </w:rPr>
              <w:t>Income taxes</w:t>
            </w: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ind w:right="10"/>
              <w:spacing w:after="0"/>
              <w:rPr>
                <w:sz w:val="20"/>
                <w:szCs w:val="20"/>
                <w:color w:val="auto"/>
              </w:rPr>
            </w:pPr>
            <w:r>
              <w:rPr>
                <w:rFonts w:ascii="Arial" w:cs="Arial" w:eastAsia="Arial" w:hAnsi="Arial"/>
                <w:sz w:val="14"/>
                <w:szCs w:val="14"/>
                <w:color w:val="auto"/>
              </w:rPr>
              <w:t>9,088</w:t>
            </w:r>
          </w:p>
        </w:tc>
        <w:tc>
          <w:tcPr>
            <w:tcW w:w="80" w:type="dxa"/>
            <w:vAlign w:val="bottom"/>
            <w:shd w:val="clear" w:color="auto" w:fill="E0E7ED"/>
          </w:tcPr>
          <w:p>
            <w:pPr>
              <w:spacing w:after="0"/>
              <w:rPr>
                <w:sz w:val="18"/>
                <w:szCs w:val="18"/>
                <w:color w:val="auto"/>
              </w:rPr>
            </w:pPr>
          </w:p>
        </w:tc>
        <w:tc>
          <w:tcPr>
            <w:tcW w:w="120" w:type="dxa"/>
            <w:vAlign w:val="bottom"/>
            <w:tcBorders>
              <w:bottom w:val="single" w:sz="8" w:color="auto"/>
            </w:tcBorders>
            <w:shd w:val="clear" w:color="auto" w:fill="E0E7ED"/>
          </w:tcPr>
          <w:p>
            <w:pPr>
              <w:spacing w:after="0"/>
              <w:rPr>
                <w:sz w:val="18"/>
                <w:szCs w:val="18"/>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1,578</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8,735</w:t>
            </w:r>
          </w:p>
        </w:tc>
      </w:tr>
      <w:tr>
        <w:trPr>
          <w:trHeight w:val="212"/>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26,492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26,225</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6" w:name="page67"/>
    <w:bookmarkEnd w:id="66"/>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 (Unaudited)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Contents of Item 2. Management’s Discussion and Analysis of Financial Condition and Results of Operations (Unaudited) (“MD&amp;A”)</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80" w:type="dxa"/>
            <w:vAlign w:val="bottom"/>
          </w:tcPr>
          <w:p>
            <w:pPr>
              <w:spacing w:after="0"/>
              <w:rPr>
                <w:sz w:val="20"/>
                <w:szCs w:val="20"/>
                <w:color w:val="auto"/>
              </w:rPr>
            </w:pPr>
            <w:r>
              <w:rPr>
                <w:rFonts w:ascii="Verdana" w:cs="Verdana" w:eastAsia="Verdana" w:hAnsi="Verdana"/>
                <w:sz w:val="14"/>
                <w:szCs w:val="14"/>
                <w:color w:val="auto"/>
              </w:rPr>
              <w:t>SCOPE OF DISCUSSION</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68</w:t>
            </w:r>
          </w:p>
        </w:tc>
      </w:tr>
      <w:tr>
        <w:trPr>
          <w:trHeight w:val="223"/>
        </w:trPr>
        <w:tc>
          <w:tcPr>
            <w:tcW w:w="8480" w:type="dxa"/>
            <w:vAlign w:val="bottom"/>
          </w:tcPr>
          <w:p>
            <w:pPr>
              <w:spacing w:after="0"/>
              <w:rPr>
                <w:sz w:val="20"/>
                <w:szCs w:val="20"/>
                <w:color w:val="auto"/>
              </w:rPr>
            </w:pPr>
            <w:r>
              <w:rPr>
                <w:rFonts w:ascii="Verdana" w:cs="Verdana" w:eastAsia="Verdana" w:hAnsi="Verdana"/>
                <w:sz w:val="14"/>
                <w:szCs w:val="14"/>
                <w:color w:val="auto"/>
              </w:rPr>
              <w:t>BUSINESS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68</w:t>
            </w:r>
          </w:p>
        </w:tc>
      </w:tr>
      <w:tr>
        <w:trPr>
          <w:trHeight w:val="223"/>
        </w:trPr>
        <w:tc>
          <w:tcPr>
            <w:tcW w:w="8480" w:type="dxa"/>
            <w:vAlign w:val="bottom"/>
          </w:tcPr>
          <w:p>
            <w:pPr>
              <w:ind w:left="260"/>
              <w:spacing w:after="0"/>
              <w:rPr>
                <w:sz w:val="20"/>
                <w:szCs w:val="20"/>
                <w:color w:val="auto"/>
              </w:rPr>
            </w:pPr>
            <w:r>
              <w:rPr>
                <w:rFonts w:ascii="Verdana" w:cs="Verdana" w:eastAsia="Verdana" w:hAnsi="Verdana"/>
                <w:sz w:val="14"/>
                <w:szCs w:val="14"/>
                <w:color w:val="auto"/>
              </w:rPr>
              <w:t>Banking Center Markets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68</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Busey's Conservative Banking Strategy</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68</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Mergers and Acquisitions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69</w:t>
            </w:r>
          </w:p>
        </w:tc>
      </w:tr>
      <w:tr>
        <w:trPr>
          <w:trHeight w:val="212"/>
        </w:trPr>
        <w:tc>
          <w:tcPr>
            <w:tcW w:w="8480" w:type="dxa"/>
            <w:vAlign w:val="bottom"/>
          </w:tcPr>
          <w:p>
            <w:pPr>
              <w:ind w:left="500"/>
              <w:spacing w:after="0"/>
              <w:rPr>
                <w:sz w:val="20"/>
                <w:szCs w:val="20"/>
                <w:color w:val="auto"/>
              </w:rPr>
            </w:pPr>
            <w:r>
              <w:rPr>
                <w:rFonts w:ascii="Verdana" w:cs="Verdana" w:eastAsia="Verdana" w:hAnsi="Verdana"/>
                <w:sz w:val="14"/>
                <w:szCs w:val="14"/>
                <w:color w:val="auto"/>
              </w:rPr>
              <w:t>CrossFirst Bankshares, Inc.</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69</w:t>
            </w:r>
          </w:p>
        </w:tc>
      </w:tr>
      <w:tr>
        <w:trPr>
          <w:trHeight w:val="212"/>
        </w:trPr>
        <w:tc>
          <w:tcPr>
            <w:tcW w:w="8480" w:type="dxa"/>
            <w:vAlign w:val="bottom"/>
          </w:tcPr>
          <w:p>
            <w:pPr>
              <w:ind w:left="500"/>
              <w:spacing w:after="0"/>
              <w:rPr>
                <w:sz w:val="20"/>
                <w:szCs w:val="20"/>
                <w:color w:val="auto"/>
              </w:rPr>
            </w:pPr>
            <w:r>
              <w:rPr>
                <w:rFonts w:ascii="Verdana" w:cs="Verdana" w:eastAsia="Verdana" w:hAnsi="Verdana"/>
                <w:sz w:val="14"/>
                <w:szCs w:val="14"/>
                <w:color w:val="auto"/>
              </w:rPr>
              <w:t>Merchants and Manufacturers Bank Corporation</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69</w:t>
            </w:r>
          </w:p>
        </w:tc>
      </w:tr>
      <w:tr>
        <w:trPr>
          <w:trHeight w:val="212"/>
        </w:trPr>
        <w:tc>
          <w:tcPr>
            <w:tcW w:w="8480" w:type="dxa"/>
            <w:vAlign w:val="bottom"/>
          </w:tcPr>
          <w:p>
            <w:pPr>
              <w:spacing w:after="0"/>
              <w:rPr>
                <w:sz w:val="20"/>
                <w:szCs w:val="20"/>
                <w:color w:val="auto"/>
              </w:rPr>
            </w:pPr>
            <w:r>
              <w:rPr>
                <w:rFonts w:ascii="Verdana" w:cs="Verdana" w:eastAsia="Verdana" w:hAnsi="Verdana"/>
                <w:sz w:val="14"/>
                <w:szCs w:val="14"/>
                <w:color w:val="auto"/>
              </w:rPr>
              <w:t>RESULTS OF OPERATIONS — THREE MONTHS ENDED MARCH 31, 2025</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70</w:t>
            </w:r>
          </w:p>
        </w:tc>
      </w:tr>
      <w:tr>
        <w:trPr>
          <w:trHeight w:val="223"/>
        </w:trPr>
        <w:tc>
          <w:tcPr>
            <w:tcW w:w="8480" w:type="dxa"/>
            <w:vAlign w:val="bottom"/>
          </w:tcPr>
          <w:p>
            <w:pPr>
              <w:ind w:left="260"/>
              <w:spacing w:after="0"/>
              <w:rPr>
                <w:sz w:val="20"/>
                <w:szCs w:val="20"/>
                <w:color w:val="auto"/>
              </w:rPr>
            </w:pPr>
            <w:r>
              <w:rPr>
                <w:rFonts w:ascii="Verdana" w:cs="Verdana" w:eastAsia="Verdana" w:hAnsi="Verdana"/>
                <w:sz w:val="14"/>
                <w:szCs w:val="14"/>
                <w:color w:val="auto"/>
              </w:rPr>
              <w:t>Net Income</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70</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Operating Performance Metrics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71</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Net Interest Income</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71</w:t>
            </w:r>
          </w:p>
        </w:tc>
      </w:tr>
      <w:tr>
        <w:trPr>
          <w:trHeight w:val="212"/>
        </w:trPr>
        <w:tc>
          <w:tcPr>
            <w:tcW w:w="8480" w:type="dxa"/>
            <w:vAlign w:val="bottom"/>
          </w:tcPr>
          <w:p>
            <w:pPr>
              <w:ind w:left="500"/>
              <w:spacing w:after="0"/>
              <w:rPr>
                <w:sz w:val="20"/>
                <w:szCs w:val="20"/>
                <w:color w:val="auto"/>
              </w:rPr>
            </w:pPr>
            <w:r>
              <w:rPr>
                <w:rFonts w:ascii="Verdana" w:cs="Verdana" w:eastAsia="Verdana" w:hAnsi="Verdana"/>
                <w:sz w:val="14"/>
                <w:szCs w:val="14"/>
                <w:color w:val="auto"/>
              </w:rPr>
              <w:t>Consolidated Average Balance Sheets and Interest Rates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71</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Noninterest Income</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74</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Noninterest Expense</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76</w:t>
            </w:r>
          </w:p>
        </w:tc>
      </w:tr>
      <w:tr>
        <w:trPr>
          <w:trHeight w:val="212"/>
        </w:trPr>
        <w:tc>
          <w:tcPr>
            <w:tcW w:w="8480" w:type="dxa"/>
            <w:vAlign w:val="bottom"/>
          </w:tcPr>
          <w:p>
            <w:pPr>
              <w:ind w:left="500"/>
              <w:spacing w:after="0"/>
              <w:rPr>
                <w:sz w:val="20"/>
                <w:szCs w:val="20"/>
                <w:color w:val="auto"/>
              </w:rPr>
            </w:pPr>
            <w:r>
              <w:rPr>
                <w:rFonts w:ascii="Verdana" w:cs="Verdana" w:eastAsia="Verdana" w:hAnsi="Verdana"/>
                <w:sz w:val="14"/>
                <w:szCs w:val="14"/>
                <w:color w:val="auto"/>
              </w:rPr>
              <w:t>Efficiency Ratio</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77</w:t>
            </w:r>
          </w:p>
        </w:tc>
      </w:tr>
      <w:tr>
        <w:trPr>
          <w:trHeight w:val="212"/>
        </w:trPr>
        <w:tc>
          <w:tcPr>
            <w:tcW w:w="8480" w:type="dxa"/>
            <w:vAlign w:val="bottom"/>
          </w:tcPr>
          <w:p>
            <w:pPr>
              <w:ind w:left="500"/>
              <w:spacing w:after="0"/>
              <w:rPr>
                <w:sz w:val="20"/>
                <w:szCs w:val="20"/>
                <w:color w:val="auto"/>
              </w:rPr>
            </w:pPr>
            <w:r>
              <w:rPr>
                <w:rFonts w:ascii="Verdana" w:cs="Verdana" w:eastAsia="Verdana" w:hAnsi="Verdana"/>
                <w:sz w:val="14"/>
                <w:szCs w:val="14"/>
                <w:color w:val="auto"/>
              </w:rPr>
              <w:t>Taxes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78</w:t>
            </w:r>
          </w:p>
        </w:tc>
      </w:tr>
      <w:tr>
        <w:trPr>
          <w:trHeight w:val="212"/>
        </w:trPr>
        <w:tc>
          <w:tcPr>
            <w:tcW w:w="8480" w:type="dxa"/>
            <w:vAlign w:val="bottom"/>
          </w:tcPr>
          <w:p>
            <w:pPr>
              <w:spacing w:after="0"/>
              <w:rPr>
                <w:sz w:val="20"/>
                <w:szCs w:val="20"/>
                <w:color w:val="auto"/>
              </w:rPr>
            </w:pPr>
            <w:r>
              <w:rPr>
                <w:rFonts w:ascii="Verdana" w:cs="Verdana" w:eastAsia="Verdana" w:hAnsi="Verdana"/>
                <w:sz w:val="14"/>
                <w:szCs w:val="14"/>
                <w:color w:val="auto"/>
              </w:rPr>
              <w:t>FINANCIAL CONDITION</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78</w:t>
            </w:r>
          </w:p>
        </w:tc>
      </w:tr>
      <w:tr>
        <w:trPr>
          <w:trHeight w:val="223"/>
        </w:trPr>
        <w:tc>
          <w:tcPr>
            <w:tcW w:w="8480" w:type="dxa"/>
            <w:vAlign w:val="bottom"/>
          </w:tcPr>
          <w:p>
            <w:pPr>
              <w:ind w:left="260"/>
              <w:spacing w:after="0"/>
              <w:rPr>
                <w:sz w:val="20"/>
                <w:szCs w:val="20"/>
                <w:color w:val="auto"/>
              </w:rPr>
            </w:pPr>
            <w:r>
              <w:rPr>
                <w:rFonts w:ascii="Verdana" w:cs="Verdana" w:eastAsia="Verdana" w:hAnsi="Verdana"/>
                <w:sz w:val="14"/>
                <w:szCs w:val="14"/>
                <w:color w:val="auto"/>
              </w:rPr>
              <w:t>Balance Sheet</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78</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Portfolio Loans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79</w:t>
            </w:r>
          </w:p>
        </w:tc>
      </w:tr>
      <w:tr>
        <w:trPr>
          <w:trHeight w:val="212"/>
        </w:trPr>
        <w:tc>
          <w:tcPr>
            <w:tcW w:w="8480" w:type="dxa"/>
            <w:vAlign w:val="bottom"/>
          </w:tcPr>
          <w:p>
            <w:pPr>
              <w:ind w:left="500"/>
              <w:spacing w:after="0"/>
              <w:rPr>
                <w:sz w:val="20"/>
                <w:szCs w:val="20"/>
                <w:color w:val="auto"/>
              </w:rPr>
            </w:pPr>
            <w:r>
              <w:rPr>
                <w:rFonts w:ascii="Verdana" w:cs="Verdana" w:eastAsia="Verdana" w:hAnsi="Verdana"/>
                <w:sz w:val="14"/>
                <w:szCs w:val="14"/>
                <w:color w:val="auto"/>
              </w:rPr>
              <w:t>Portfolio Composition</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80</w:t>
            </w:r>
          </w:p>
        </w:tc>
      </w:tr>
      <w:tr>
        <w:trPr>
          <w:trHeight w:val="212"/>
        </w:trPr>
        <w:tc>
          <w:tcPr>
            <w:tcW w:w="8480" w:type="dxa"/>
            <w:vAlign w:val="bottom"/>
          </w:tcPr>
          <w:p>
            <w:pPr>
              <w:ind w:left="500"/>
              <w:spacing w:after="0"/>
              <w:rPr>
                <w:sz w:val="20"/>
                <w:szCs w:val="20"/>
                <w:color w:val="auto"/>
              </w:rPr>
            </w:pPr>
            <w:r>
              <w:rPr>
                <w:rFonts w:ascii="Verdana" w:cs="Verdana" w:eastAsia="Verdana" w:hAnsi="Verdana"/>
                <w:sz w:val="14"/>
                <w:szCs w:val="14"/>
                <w:color w:val="auto"/>
              </w:rPr>
              <w:t>Concentration of Credit Risk</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80</w:t>
            </w:r>
          </w:p>
        </w:tc>
      </w:tr>
      <w:tr>
        <w:trPr>
          <w:trHeight w:val="212"/>
        </w:trPr>
        <w:tc>
          <w:tcPr>
            <w:tcW w:w="8480" w:type="dxa"/>
            <w:vAlign w:val="bottom"/>
          </w:tcPr>
          <w:p>
            <w:pPr>
              <w:ind w:left="500"/>
              <w:spacing w:after="0"/>
              <w:rPr>
                <w:sz w:val="20"/>
                <w:szCs w:val="20"/>
                <w:color w:val="auto"/>
              </w:rPr>
            </w:pPr>
            <w:r>
              <w:rPr>
                <w:rFonts w:ascii="Verdana" w:cs="Verdana" w:eastAsia="Verdana" w:hAnsi="Verdana"/>
                <w:sz w:val="14"/>
                <w:szCs w:val="14"/>
                <w:color w:val="auto"/>
              </w:rPr>
              <w:t>Allowance and Provision for Credit Losses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82</w:t>
            </w:r>
          </w:p>
        </w:tc>
      </w:tr>
      <w:tr>
        <w:trPr>
          <w:trHeight w:val="212"/>
        </w:trPr>
        <w:tc>
          <w:tcPr>
            <w:tcW w:w="8480" w:type="dxa"/>
            <w:vAlign w:val="bottom"/>
          </w:tcPr>
          <w:p>
            <w:pPr>
              <w:ind w:left="500"/>
              <w:spacing w:after="0"/>
              <w:rPr>
                <w:sz w:val="20"/>
                <w:szCs w:val="20"/>
                <w:color w:val="auto"/>
              </w:rPr>
            </w:pPr>
            <w:r>
              <w:rPr>
                <w:rFonts w:ascii="Verdana" w:cs="Verdana" w:eastAsia="Verdana" w:hAnsi="Verdana"/>
                <w:sz w:val="14"/>
                <w:szCs w:val="14"/>
                <w:color w:val="auto"/>
              </w:rPr>
              <w:t>Non-Performing Loans and Non-Performing Assets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83</w:t>
            </w:r>
          </w:p>
        </w:tc>
      </w:tr>
      <w:tr>
        <w:trPr>
          <w:trHeight w:val="212"/>
        </w:trPr>
        <w:tc>
          <w:tcPr>
            <w:tcW w:w="8480" w:type="dxa"/>
            <w:vAlign w:val="bottom"/>
          </w:tcPr>
          <w:p>
            <w:pPr>
              <w:ind w:left="500"/>
              <w:spacing w:after="0"/>
              <w:rPr>
                <w:sz w:val="20"/>
                <w:szCs w:val="20"/>
                <w:color w:val="auto"/>
              </w:rPr>
            </w:pPr>
            <w:r>
              <w:rPr>
                <w:rFonts w:ascii="Verdana" w:cs="Verdana" w:eastAsia="Verdana" w:hAnsi="Verdana"/>
                <w:sz w:val="14"/>
                <w:szCs w:val="14"/>
                <w:color w:val="auto"/>
              </w:rPr>
              <w:t>Potential Problem Loans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85</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Deposits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85</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Liquidity</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86</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Off-Balance-Sheet Arrangements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87</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Capital Resources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87</w:t>
            </w:r>
          </w:p>
        </w:tc>
      </w:tr>
      <w:tr>
        <w:trPr>
          <w:trHeight w:val="212"/>
        </w:trPr>
        <w:tc>
          <w:tcPr>
            <w:tcW w:w="8480" w:type="dxa"/>
            <w:vAlign w:val="bottom"/>
          </w:tcPr>
          <w:p>
            <w:pPr>
              <w:spacing w:after="0"/>
              <w:rPr>
                <w:sz w:val="20"/>
                <w:szCs w:val="20"/>
                <w:color w:val="auto"/>
              </w:rPr>
            </w:pPr>
            <w:r>
              <w:rPr>
                <w:rFonts w:ascii="Verdana" w:cs="Verdana" w:eastAsia="Verdana" w:hAnsi="Verdana"/>
                <w:sz w:val="14"/>
                <w:szCs w:val="14"/>
                <w:color w:val="auto"/>
              </w:rPr>
              <w:t>NON-GAAP FINANCIAL INFORMATION</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88</w:t>
            </w:r>
          </w:p>
        </w:tc>
      </w:tr>
      <w:tr>
        <w:trPr>
          <w:trHeight w:val="223"/>
        </w:trPr>
        <w:tc>
          <w:tcPr>
            <w:tcW w:w="8480" w:type="dxa"/>
            <w:vAlign w:val="bottom"/>
          </w:tcPr>
          <w:p>
            <w:pPr>
              <w:spacing w:after="0"/>
              <w:rPr>
                <w:sz w:val="20"/>
                <w:szCs w:val="20"/>
                <w:color w:val="auto"/>
              </w:rPr>
            </w:pPr>
            <w:r>
              <w:rPr>
                <w:rFonts w:ascii="Verdana" w:cs="Verdana" w:eastAsia="Verdana" w:hAnsi="Verdana"/>
                <w:sz w:val="14"/>
                <w:szCs w:val="14"/>
                <w:color w:val="auto"/>
              </w:rPr>
              <w:t>FORWARD-LOOKING STATEMENTS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95</w:t>
            </w:r>
          </w:p>
        </w:tc>
      </w:tr>
      <w:tr>
        <w:trPr>
          <w:trHeight w:val="223"/>
        </w:trPr>
        <w:tc>
          <w:tcPr>
            <w:tcW w:w="8480" w:type="dxa"/>
            <w:vAlign w:val="bottom"/>
          </w:tcPr>
          <w:p>
            <w:pPr>
              <w:spacing w:after="0"/>
              <w:rPr>
                <w:sz w:val="20"/>
                <w:szCs w:val="20"/>
                <w:color w:val="auto"/>
              </w:rPr>
            </w:pPr>
            <w:r>
              <w:rPr>
                <w:rFonts w:ascii="Verdana" w:cs="Verdana" w:eastAsia="Verdana" w:hAnsi="Verdana"/>
                <w:sz w:val="14"/>
                <w:szCs w:val="14"/>
                <w:color w:val="auto"/>
              </w:rPr>
              <w:t>CRITICAL ACCOUNTING ESTIMATES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95</w:t>
            </w:r>
          </w:p>
        </w:tc>
      </w:tr>
      <w:tr>
        <w:trPr>
          <w:trHeight w:val="223"/>
        </w:trPr>
        <w:tc>
          <w:tcPr>
            <w:tcW w:w="8480" w:type="dxa"/>
            <w:vAlign w:val="bottom"/>
          </w:tcPr>
          <w:p>
            <w:pPr>
              <w:ind w:left="260"/>
              <w:spacing w:after="0"/>
              <w:rPr>
                <w:sz w:val="20"/>
                <w:szCs w:val="20"/>
                <w:color w:val="auto"/>
              </w:rPr>
            </w:pPr>
            <w:r>
              <w:rPr>
                <w:rFonts w:ascii="Verdana" w:cs="Verdana" w:eastAsia="Verdana" w:hAnsi="Verdana"/>
                <w:sz w:val="14"/>
                <w:szCs w:val="14"/>
                <w:color w:val="auto"/>
              </w:rPr>
              <w:t>Fair Value of Assets Acquired and Liabilities Assumed in Business Combinations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96</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Goodwill</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96</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Income Taxes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96</w:t>
            </w:r>
          </w:p>
        </w:tc>
      </w:tr>
      <w:tr>
        <w:trPr>
          <w:trHeight w:val="212"/>
        </w:trPr>
        <w:tc>
          <w:tcPr>
            <w:tcW w:w="8480" w:type="dxa"/>
            <w:vAlign w:val="bottom"/>
          </w:tcPr>
          <w:p>
            <w:pPr>
              <w:ind w:left="260"/>
              <w:spacing w:after="0"/>
              <w:rPr>
                <w:sz w:val="20"/>
                <w:szCs w:val="20"/>
                <w:color w:val="auto"/>
              </w:rPr>
            </w:pPr>
            <w:r>
              <w:rPr>
                <w:rFonts w:ascii="Verdana" w:cs="Verdana" w:eastAsia="Verdana" w:hAnsi="Verdana"/>
                <w:sz w:val="14"/>
                <w:szCs w:val="14"/>
                <w:color w:val="auto"/>
              </w:rPr>
              <w:t>Allowance for Credit Losses</w:t>
            </w:r>
          </w:p>
        </w:tc>
        <w:tc>
          <w:tcPr>
            <w:tcW w:w="2760" w:type="dxa"/>
            <w:vAlign w:val="bottom"/>
          </w:tcPr>
          <w:p>
            <w:pPr>
              <w:jc w:val="right"/>
              <w:spacing w:after="0"/>
              <w:rPr>
                <w:sz w:val="20"/>
                <w:szCs w:val="20"/>
                <w:color w:val="auto"/>
              </w:rPr>
            </w:pPr>
            <w:r>
              <w:rPr>
                <w:rFonts w:ascii="Verdana" w:cs="Verdana" w:eastAsia="Verdana" w:hAnsi="Verdana"/>
                <w:sz w:val="14"/>
                <w:szCs w:val="14"/>
                <w:color w:val="auto"/>
              </w:rPr>
              <w:t>97</w:t>
            </w: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7" w:name="page68"/>
    <w:bookmarkEnd w:id="67"/>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SCOPE OF DISCUSSION</w:t>
      </w:r>
    </w:p>
    <w:p>
      <w:pPr>
        <w:spacing w:after="0" w:line="147" w:lineRule="exact"/>
        <w:rPr>
          <w:sz w:val="20"/>
          <w:szCs w:val="20"/>
          <w:color w:val="auto"/>
        </w:rPr>
      </w:pPr>
    </w:p>
    <w:p>
      <w:pPr>
        <w:jc w:val="both"/>
        <w:spacing w:after="0" w:line="271" w:lineRule="auto"/>
        <w:rPr>
          <w:rFonts w:ascii="Arial" w:cs="Arial" w:eastAsia="Arial" w:hAnsi="Arial"/>
          <w:sz w:val="14"/>
          <w:szCs w:val="14"/>
          <w:color w:val="auto"/>
        </w:rPr>
      </w:pPr>
      <w:r>
        <w:rPr>
          <w:rFonts w:ascii="Arial" w:cs="Arial" w:eastAsia="Arial" w:hAnsi="Arial"/>
          <w:sz w:val="14"/>
          <w:szCs w:val="14"/>
          <w:color w:val="auto"/>
        </w:rPr>
        <w:t xml:space="preserve">The following discussion and analysis are intended to assist readers in understanding Busey’s financial condition and results of operations during the three months ended March 31, 2025, and should be read in conjunction with Busey’s </w:t>
      </w:r>
      <w:r>
        <w:rPr>
          <w:rFonts w:ascii="Arial" w:cs="Arial" w:eastAsia="Arial" w:hAnsi="Arial"/>
          <w:sz w:val="14"/>
          <w:szCs w:val="14"/>
          <w:u w:val="single" w:color="auto"/>
          <w:color w:val="0000FF"/>
        </w:rPr>
        <w:t>Consolidated Financial Statements (Unaudited)</w:t>
      </w:r>
      <w:r>
        <w:rPr>
          <w:rFonts w:ascii="Arial" w:cs="Arial" w:eastAsia="Arial" w:hAnsi="Arial"/>
          <w:sz w:val="14"/>
          <w:szCs w:val="14"/>
          <w:color w:val="auto"/>
        </w:rPr>
        <w:t xml:space="preserve"> and the related </w:t>
      </w:r>
      <w:r>
        <w:rPr>
          <w:rFonts w:ascii="Arial" w:cs="Arial" w:eastAsia="Arial" w:hAnsi="Arial"/>
          <w:sz w:val="14"/>
          <w:szCs w:val="14"/>
          <w:u w:val="single" w:color="auto"/>
          <w:color w:val="0000FF"/>
        </w:rPr>
        <w:t>Notes to the Consolidated Financial Statements (Unaudited)</w:t>
      </w:r>
      <w:r>
        <w:rPr>
          <w:rFonts w:ascii="Arial" w:cs="Arial" w:eastAsia="Arial" w:hAnsi="Arial"/>
          <w:sz w:val="14"/>
          <w:szCs w:val="14"/>
          <w:color w:val="auto"/>
        </w:rPr>
        <w:t xml:space="preserve"> included in this Quarterly Report, as well as Busey’s </w:t>
      </w:r>
      <w:hyperlink r:id="rId90">
        <w:r>
          <w:rPr>
            <w:rFonts w:ascii="Arial" w:cs="Arial" w:eastAsia="Arial" w:hAnsi="Arial"/>
            <w:sz w:val="14"/>
            <w:szCs w:val="14"/>
            <w:u w:val="single" w:color="auto"/>
            <w:color w:val="0000FF"/>
          </w:rPr>
          <w:t>2024 Annual Report</w:t>
        </w:r>
      </w:hyperlink>
      <w:r>
        <w:rPr>
          <w:rFonts w:ascii="Arial" w:cs="Arial" w:eastAsia="Arial" w:hAnsi="Arial"/>
          <w:sz w:val="14"/>
          <w:szCs w:val="14"/>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First Busey Corporation is a $19.46 billion financial holding company headquartered in Leawood, Kansas. First Busey Corporation’s common stock is traded on The Nasdaq Global Select Market under the symbol “BUSE.”</w:t>
      </w:r>
    </w:p>
    <w:p>
      <w:pPr>
        <w:spacing w:after="0" w:line="8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 provides a full range of banking, wealth management, and payment technology solutions to individuals and corporate clients through its subsidiaries, Busey Bank, CrossFirst Bank (since March 1, 2025), and FirsTech.</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Banking Center Markets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Busey Bank, headquartered in Champaign, Illinois, serves the Illinois banking market with 50 banking centers, including 21 located within central Illinois, 17 located within the suburban Chicago market, and 12 located within the St. Louis Metropolitan Statistical Area. Busey’s Illinois markets feature several Fortune 1000 companies. Those organizations, coupled with large healthcare and higher education sectors, anchor the communities in which they are located and have provided a comparatively stable foundation for housing, employment, and small business.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 Bank has eight banking centers in Missouri. St. Louis, Missouri has a diverse economy with major employment sectors including health care, financial services, professional and business services, and retail. Busey has a total of 20 banking centers within the boundaries of the St. Louis Metropolitan Statistical Area, including branches in both Illinois and Missouri.</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 Bank has three banking centers in southwest Florida, an area which has experienced strong population growth, job growth, and an expanded housing market, as well as the benefits of a tourism and winter resort economy.</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 Bank has one banking center in the Indianapolis, Indiana, area, which is the most populous city of Indiana with a diverse economy, due in part to it serving as the headquarters of many large corporations.</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CrossFirst Bank, headquartered in Leawood, Kansas, serves high-growth metro markets with two banking centers located in Arizona, two in Colorado, three in Kansas, one in Missouri, one in New Mexico, three in Oklahoma, and four in Texas. CrossFirst Bank’s results of operations were included in Busey’s consolidated results of operations beginning March 1, 2025. Busey will operate CrossFirst Bank as a separate banking subsidiary until it is merged with and into Busey Bank, which is expected to occur on June 20, 2025. At the time of the bank merger, CrossFirst Bank locations will become banking centers of Busey Bank.</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Busey's Conservative Banking Strategy</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Busey’s financial strength is built on a long-term conservative operating approach. The quality of Busey’s core deposit franchise is a critical value driver of the institution. Busey remains substantially core deposit</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funded, with robust liquidity and significant market share in the communities it serves. As of March 31, 2025, Busey’s loan to deposit ratio was 84.3% and core deposits represented 90.3% of total deposits. Furthermore, Busey has sufficient on- and off-balance sheet liquidity to manage deposit fluctuations and the liquidity needs of its customers.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Busey’s credit performance reflects its highly diversified, conservatively underwritten loan portfolio, which has been originated predominantly to established customers with tenured relationships with Busey. Busey’s approach to lending and its underwriting standards are designed to emphasize relationship banking rather than transactional banking. In addition, as a matter of both policy and practice, Busey limits concentration exposures in any particular loan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77863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271" w:lineRule="exact"/>
        <w:rPr>
          <w:sz w:val="20"/>
          <w:szCs w:val="20"/>
          <w:color w:val="auto"/>
        </w:rPr>
      </w:pPr>
    </w:p>
    <w:p>
      <w:pPr>
        <w:ind w:left="140" w:hanging="135"/>
        <w:spacing w:after="0" w:line="213" w:lineRule="auto"/>
        <w:tabs>
          <w:tab w:leader="none" w:pos="103" w:val="left"/>
        </w:tabs>
        <w:numPr>
          <w:ilvl w:val="0"/>
          <w:numId w:val="20"/>
        </w:numPr>
        <w:rPr>
          <w:rFonts w:ascii="Arial" w:cs="Arial" w:eastAsia="Arial" w:hAnsi="Arial"/>
          <w:sz w:val="18"/>
          <w:szCs w:val="18"/>
          <w:color w:val="auto"/>
          <w:vertAlign w:val="superscript"/>
        </w:rPr>
      </w:pPr>
      <w:r>
        <w:rPr>
          <w:rFonts w:ascii="Arial" w:cs="Arial" w:eastAsia="Arial" w:hAnsi="Arial"/>
          <w:sz w:val="11"/>
          <w:szCs w:val="11"/>
          <w:color w:val="auto"/>
        </w:rPr>
        <w:t xml:space="preserve">Core deposits is a non-GAAP financial measure. For a reconciliation of non-GAAP measures to the most directly comparable GAAP financial measures, see </w:t>
      </w:r>
      <w:r>
        <w:rPr>
          <w:rFonts w:ascii="Arial" w:cs="Arial" w:eastAsia="Arial" w:hAnsi="Arial"/>
          <w:sz w:val="11"/>
          <w:szCs w:val="11"/>
          <w:i w:val="1"/>
          <w:iCs w:val="1"/>
          <w:u w:val="single" w:color="auto"/>
          <w:color w:val="0000FF"/>
        </w:rPr>
        <w:t>“Item 2. Management’s Discussion and Analysis—Non-GAAP</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0000FF"/>
        </w:rPr>
        <w:t>Financial Information”</w:t>
      </w:r>
      <w:r>
        <w:rPr>
          <w:rFonts w:ascii="Arial" w:cs="Arial" w:eastAsia="Arial" w:hAnsi="Arial"/>
          <w:sz w:val="11"/>
          <w:szCs w:val="11"/>
          <w:i w:val="1"/>
          <w:iCs w:val="1"/>
          <w:color w:val="0000FF"/>
        </w:rPr>
        <w:t xml:space="preserve"> </w:t>
      </w:r>
      <w:r>
        <w:rPr>
          <w:rFonts w:ascii="Arial" w:cs="Arial" w:eastAsia="Arial" w:hAnsi="Arial"/>
          <w:sz w:val="11"/>
          <w:szCs w:val="11"/>
          <w:color w:val="000000"/>
        </w:rPr>
        <w:t>included in this Quarterly Report.</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8" w:name="page69"/>
    <w:bookmarkEnd w:id="68"/>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Busey’s conservative banking strategy is reflected in the strength of its capital base. Busey strives to consistently maintain capital ratios well in excess of thresholds required to be designated as well capitalized by applicable regulatory guidelines, thereby ensuring financial strength and flexibility across economic and operating cycles. As of March 31, 2025, Busey’s leverage ratio of Tier 1 capital to average assets was 12.9%, its common equity Tier 1 capital to risk weighted assets ratio was 12.0%, and its total capital to risk weighted assets ratio was 14.9%.</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Mergers and Acquisitions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CrossFirst Bankshares, Inc.</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Effective March 1, 2025, First Busey Corporation, the holding company for Busey Bank, completed its previously announced acquisition of CrossFirst, the holding company for CrossFirst Bank, pursuant to an Agreement and Plan of Merger, dated August 26, 2024, by and between Busey and CrossFirst. The acquisition was accretive to tangible book value, exceeding initial projections of a six-month earn back period.</w:t>
      </w:r>
    </w:p>
    <w:p>
      <w:pPr>
        <w:spacing w:after="0" w:line="71" w:lineRule="exact"/>
        <w:rPr>
          <w:sz w:val="20"/>
          <w:szCs w:val="20"/>
          <w:color w:val="auto"/>
        </w:rPr>
      </w:pPr>
    </w:p>
    <w:p>
      <w:pPr>
        <w:jc w:val="both"/>
        <w:spacing w:after="0" w:line="194" w:lineRule="exact"/>
        <w:rPr>
          <w:rFonts w:ascii="Arial" w:cs="Arial" w:eastAsia="Arial" w:hAnsi="Arial"/>
          <w:sz w:val="14"/>
          <w:szCs w:val="14"/>
          <w:color w:val="auto"/>
        </w:rPr>
      </w:pPr>
      <w:r>
        <w:rPr>
          <w:rFonts w:ascii="Arial" w:cs="Arial" w:eastAsia="Arial" w:hAnsi="Arial"/>
          <w:sz w:val="14"/>
          <w:szCs w:val="14"/>
          <w:color w:val="auto"/>
        </w:rPr>
        <w:t xml:space="preserve">Further details about the completion of the merger are included with </w:t>
      </w:r>
      <w:hyperlink r:id="rId98">
        <w:r>
          <w:rPr>
            <w:rFonts w:ascii="Arial" w:cs="Arial" w:eastAsia="Arial" w:hAnsi="Arial"/>
            <w:sz w:val="14"/>
            <w:szCs w:val="14"/>
            <w:u w:val="single" w:color="auto"/>
            <w:color w:val="0000FF"/>
          </w:rPr>
          <w:t>Busey’s Current Report on Form 8</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K</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announcing completion of the merger, which was filed with the SEC on March 3, 2025.</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Merchants and Manufacturers Bank Corporation</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April 1, 2024, Busey completed its acquisition of M&amp;M and its wholly-owned subsidiary, M&amp;M Bank, through a merger transaction. This partnership added M&amp;M’s Life Equity Loan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to Busey’s existing suite of services and expanded Busey’s presence in the suburban Chicago market. M&amp;M’s results of operations were included in Busey’s results of operation beginning April 1, 2024.</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Busey operated M&amp;M Bank as a separate banking subsidiary of Busey until it was merged with Busey Bank on June 21, 2024. At the time of the bank merger, M&amp;M Bank’s banking centers became banking centers of Busey Bank, except for M&amp;M’s banking center located at 990 Essington Rd., Joliet, Illinois, which was closed in connection with the bank merger.</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further information regarding these acquisitions,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Note 2. Mergers and Acquisitions</w:t>
      </w:r>
      <w:r>
        <w:rPr>
          <w:rFonts w:ascii="Arial" w:cs="Arial" w:eastAsia="Arial" w:hAnsi="Arial"/>
          <w:sz w:val="14"/>
          <w:szCs w:val="14"/>
          <w:i w:val="1"/>
          <w:iCs w:val="1"/>
          <w:color w:val="auto"/>
        </w:rPr>
        <w:t>”</w:t>
      </w:r>
      <w:r>
        <w:rPr>
          <w:rFonts w:ascii="Arial" w:cs="Arial" w:eastAsia="Arial" w:hAnsi="Arial"/>
          <w:sz w:val="14"/>
          <w:szCs w:val="14"/>
          <w:color w:val="auto"/>
        </w:rPr>
        <w:t xml:space="preserve"> in the </w:t>
      </w:r>
      <w:r>
        <w:rPr>
          <w:rFonts w:ascii="Arial" w:cs="Arial" w:eastAsia="Arial" w:hAnsi="Arial"/>
          <w:sz w:val="14"/>
          <w:szCs w:val="14"/>
          <w:i w:val="1"/>
          <w:iCs w:val="1"/>
          <w:u w:val="single" w:color="auto"/>
          <w:color w:val="0000FF"/>
        </w:rPr>
        <w:t>Notes to the Consolidated Financial Statements (Unaudited)</w:t>
      </w:r>
      <w:r>
        <w:rPr>
          <w:rFonts w:ascii="Arial" w:cs="Arial" w:eastAsia="Arial" w:hAnsi="Arial"/>
          <w:sz w:val="14"/>
          <w:szCs w:val="14"/>
          <w:color w:val="auto"/>
        </w:rPr>
        <w:t>.</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9" w:name="page70"/>
    <w:bookmarkEnd w:id="69"/>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THREE MONTHS ENDED MARCH 31, 2025</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w:t>
      </w:r>
    </w:p>
    <w:p>
      <w:pPr>
        <w:spacing w:after="0" w:line="14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transformative acquisition of CrossFirst on March 1, 2025, significantly impacted first quarter 2025 results and reset the baseline performance for future periods in a multitude of positive ways. Results of Busey’s operations, by operating segment, are presented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2024</w:t>
            </w: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Banking</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(19,693)</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26,492</w:t>
            </w: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Wealth Management</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6,219</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4,998</w:t>
            </w: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FirsTech</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(16,277)</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(5,351)</w:t>
            </w: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(29,990)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26,225</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Non-Operating Expenses and Non-GAAP Measures</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 views certain non-operating expenses, including acquisition expenses, restructuring charges, and non-recurring strategic events, as adjustments to net income reported under GAAP. Non-operating expenses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Pr>
          <w:p>
            <w:pPr>
              <w:spacing w:after="0"/>
              <w:rPr>
                <w:sz w:val="12"/>
                <w:szCs w:val="12"/>
                <w:color w:val="auto"/>
              </w:rPr>
            </w:pPr>
          </w:p>
        </w:tc>
        <w:tc>
          <w:tcPr>
            <w:tcW w:w="1040" w:type="dxa"/>
            <w:vAlign w:val="bottom"/>
          </w:tcPr>
          <w:p>
            <w:pPr>
              <w:jc w:val="right"/>
              <w:ind w:right="471"/>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90"/>
              <w:spacing w:after="0"/>
              <w:rPr>
                <w:sz w:val="20"/>
                <w:szCs w:val="20"/>
                <w:color w:val="auto"/>
              </w:rPr>
            </w:pPr>
            <w:r>
              <w:rPr>
                <w:rFonts w:ascii="Arial" w:cs="Arial" w:eastAsia="Arial" w:hAnsi="Arial"/>
                <w:sz w:val="11"/>
                <w:szCs w:val="11"/>
                <w:b w:val="1"/>
                <w:bCs w:val="1"/>
                <w:color w:val="auto"/>
              </w:rPr>
              <w:t>2024</w:t>
            </w:r>
          </w:p>
        </w:tc>
      </w:tr>
      <w:tr>
        <w:trPr>
          <w:trHeight w:val="21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Non-operating expenses by income statement location</w:t>
            </w: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Provision for credit losses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42,433</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Salaries, wages, and employee benefits</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15,878</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123</w:t>
            </w: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Data processing</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Combined, net occupancy expense of premises and furniture and equipment expenses</w:t>
            </w:r>
          </w:p>
        </w:tc>
        <w:tc>
          <w:tcPr>
            <w:tcW w:w="320" w:type="dxa"/>
            <w:vAlign w:val="bottom"/>
            <w:shd w:val="clear" w:color="auto" w:fill="E0E7ED"/>
          </w:tcPr>
          <w:p>
            <w:pPr>
              <w:spacing w:after="0"/>
              <w:rPr>
                <w:sz w:val="19"/>
                <w:szCs w:val="19"/>
                <w:color w:val="auto"/>
              </w:rPr>
            </w:pPr>
          </w:p>
        </w:tc>
        <w:tc>
          <w:tcPr>
            <w:tcW w:w="114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w:t>
            </w: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Professional fees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Other noninterest expense</w:t>
            </w: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3,691</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w:t>
            </w: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Total non-operating expenses</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71,598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r>
      <w:tr>
        <w:trPr>
          <w:trHeight w:val="20"/>
        </w:trPr>
        <w:tc>
          <w:tcPr>
            <w:tcW w:w="846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3"/>
        </w:trPr>
        <w:tc>
          <w:tcPr>
            <w:tcW w:w="846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r>
      <w:tr>
        <w:trPr>
          <w:trHeight w:val="206"/>
        </w:trPr>
        <w:tc>
          <w:tcPr>
            <w:tcW w:w="8460" w:type="dxa"/>
            <w:vAlign w:val="bottom"/>
          </w:tcPr>
          <w:p>
            <w:pPr>
              <w:ind w:left="20"/>
              <w:spacing w:after="0"/>
              <w:rPr>
                <w:sz w:val="20"/>
                <w:szCs w:val="20"/>
                <w:color w:val="auto"/>
              </w:rPr>
            </w:pPr>
            <w:r>
              <w:rPr>
                <w:rFonts w:ascii="Arial" w:cs="Arial" w:eastAsia="Arial" w:hAnsi="Arial"/>
                <w:sz w:val="14"/>
                <w:szCs w:val="14"/>
                <w:b w:val="1"/>
                <w:bCs w:val="1"/>
                <w:color w:val="auto"/>
              </w:rPr>
              <w:t>Non-operating expenses by business objective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8"/>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Acquisition expenses:</w:t>
            </w: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r>
      <w:tr>
        <w:trPr>
          <w:trHeight w:val="202"/>
        </w:trPr>
        <w:tc>
          <w:tcPr>
            <w:tcW w:w="8460" w:type="dxa"/>
            <w:vAlign w:val="bottom"/>
          </w:tcPr>
          <w:p>
            <w:pPr>
              <w:ind w:left="280"/>
              <w:spacing w:after="0"/>
              <w:rPr>
                <w:sz w:val="20"/>
                <w:szCs w:val="20"/>
                <w:color w:val="auto"/>
              </w:rPr>
            </w:pPr>
            <w:r>
              <w:rPr>
                <w:rFonts w:ascii="Arial" w:cs="Arial" w:eastAsia="Arial" w:hAnsi="Arial"/>
                <w:sz w:val="14"/>
                <w:szCs w:val="14"/>
                <w:color w:val="auto"/>
              </w:rPr>
              <w:t>Day 2 provision for credit losses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42,433</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8460" w:type="dxa"/>
            <w:vAlign w:val="bottom"/>
            <w:shd w:val="clear" w:color="auto" w:fill="E0E7ED"/>
          </w:tcPr>
          <w:p>
            <w:pPr>
              <w:ind w:left="280"/>
              <w:spacing w:after="0"/>
              <w:rPr>
                <w:sz w:val="20"/>
                <w:szCs w:val="20"/>
                <w:color w:val="auto"/>
              </w:rPr>
            </w:pPr>
            <w:r>
              <w:rPr>
                <w:rFonts w:ascii="Arial" w:cs="Arial" w:eastAsia="Arial" w:hAnsi="Arial"/>
                <w:sz w:val="14"/>
                <w:szCs w:val="14"/>
                <w:color w:val="auto"/>
              </w:rPr>
              <w:t>Day 2 provision for unfunded commitments</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3,139</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460" w:type="dxa"/>
            <w:vAlign w:val="bottom"/>
            <w:tcBorders>
              <w:bottom w:val="single" w:sz="8" w:color="E0E7ED"/>
            </w:tcBorders>
          </w:tcPr>
          <w:p>
            <w:pPr>
              <w:ind w:left="280"/>
              <w:spacing w:after="0"/>
              <w:rPr>
                <w:sz w:val="20"/>
                <w:szCs w:val="20"/>
                <w:color w:val="auto"/>
              </w:rPr>
            </w:pPr>
            <w:r>
              <w:rPr>
                <w:rFonts w:ascii="Arial" w:cs="Arial" w:eastAsia="Arial" w:hAnsi="Arial"/>
                <w:sz w:val="14"/>
                <w:szCs w:val="14"/>
                <w:color w:val="auto"/>
              </w:rPr>
              <w:t>Other acquisition expenses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26,026</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r>
      <w:tr>
        <w:trPr>
          <w:trHeight w:val="21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Acquisition expenses</w:t>
            </w:r>
            <w:r>
              <w:rPr>
                <w:rFonts w:ascii="Arial" w:cs="Arial" w:eastAsia="Arial" w:hAnsi="Arial"/>
                <w:sz w:val="18"/>
                <w:szCs w:val="18"/>
                <w:color w:val="auto"/>
                <w:vertAlign w:val="superscript"/>
              </w:rPr>
              <w:t>1</w:t>
            </w: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71,598</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285</w:t>
            </w:r>
          </w:p>
        </w:tc>
      </w:tr>
      <w:tr>
        <w:trPr>
          <w:trHeight w:val="212"/>
        </w:trPr>
        <w:tc>
          <w:tcPr>
            <w:tcW w:w="8460" w:type="dxa"/>
            <w:vAlign w:val="bottom"/>
          </w:tcPr>
          <w:p>
            <w:pPr>
              <w:ind w:left="140"/>
              <w:spacing w:after="0"/>
              <w:rPr>
                <w:sz w:val="20"/>
                <w:szCs w:val="20"/>
                <w:color w:val="auto"/>
              </w:rPr>
            </w:pPr>
            <w:r>
              <w:rPr>
                <w:rFonts w:ascii="Arial" w:cs="Arial" w:eastAsia="Arial" w:hAnsi="Arial"/>
                <w:sz w:val="14"/>
                <w:szCs w:val="14"/>
                <w:color w:val="auto"/>
              </w:rPr>
              <w:t>Restructuring expenses</w:t>
            </w:r>
            <w:r>
              <w:rPr>
                <w:rFonts w:ascii="Arial" w:cs="Arial" w:eastAsia="Arial" w:hAnsi="Arial"/>
                <w:sz w:val="18"/>
                <w:szCs w:val="18"/>
                <w:color w:val="auto"/>
                <w:vertAlign w:val="superscript"/>
              </w:rPr>
              <w:t>2</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37"/>
        </w:trPr>
        <w:tc>
          <w:tcPr>
            <w:tcW w:w="8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non-operating expenses</w:t>
            </w:r>
          </w:p>
        </w:tc>
        <w:tc>
          <w:tcPr>
            <w:tcW w:w="320" w:type="dxa"/>
            <w:vAlign w:val="bottom"/>
            <w:tcBorders>
              <w:bottom w:val="single" w:sz="8" w:color="auto"/>
            </w:tcBorders>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71,598</w:t>
            </w:r>
          </w:p>
        </w:tc>
        <w:tc>
          <w:tcPr>
            <w:tcW w:w="100" w:type="dxa"/>
            <w:vAlign w:val="bottom"/>
            <w:tcBorders>
              <w:bottom w:val="single" w:sz="8" w:color="E0E7ED"/>
            </w:tcBorders>
            <w:shd w:val="clear" w:color="auto" w:fill="E0E7ED"/>
          </w:tcPr>
          <w:p>
            <w:pPr>
              <w:spacing w:after="0"/>
              <w:rPr>
                <w:sz w:val="20"/>
                <w:szCs w:val="20"/>
                <w:color w:val="auto"/>
              </w:rPr>
            </w:pPr>
          </w:p>
        </w:tc>
        <w:tc>
          <w:tcPr>
            <w:tcW w:w="320" w:type="dxa"/>
            <w:vAlign w:val="bottom"/>
            <w:tcBorders>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408</w:t>
            </w:r>
          </w:p>
        </w:tc>
      </w:tr>
      <w:tr>
        <w:trPr>
          <w:trHeight w:val="20"/>
        </w:trPr>
        <w:tc>
          <w:tcPr>
            <w:tcW w:w="846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Acquisition expenses were related to the acquisition of CrossFirst, which was completed on March 1, 2025, and the acquisition of M&amp;M, which was completed on April 1, 2024.</w:t>
      </w:r>
    </w:p>
    <w:p>
      <w:pPr>
        <w:spacing w:after="0" w:line="11" w:lineRule="exact"/>
        <w:rPr>
          <w:rFonts w:ascii="Arial" w:cs="Arial" w:eastAsia="Arial" w:hAnsi="Arial"/>
          <w:sz w:val="11"/>
          <w:szCs w:val="11"/>
          <w:color w:val="auto"/>
        </w:rPr>
      </w:pPr>
    </w:p>
    <w:p>
      <w:pPr>
        <w:ind w:left="380" w:hanging="248"/>
        <w:spacing w:after="0"/>
        <w:tabs>
          <w:tab w:leader="none" w:pos="3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Restructuring expenses were related to previously disclosed restructuring and efficiency plans.</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 xml:space="preserve">A reconciliation of non-GAAP measures, which Busey believes facilitates the assessment of its financial results and peer comparability, is included in tabular form in this Quarterly Report. See </w:t>
      </w:r>
      <w:r>
        <w:rPr>
          <w:rFonts w:ascii="Arial" w:cs="Arial" w:eastAsia="Arial" w:hAnsi="Arial"/>
          <w:sz w:val="14"/>
          <w:szCs w:val="14"/>
          <w:i w:val="1"/>
          <w:iCs w:val="1"/>
          <w:u w:val="single" w:color="auto"/>
          <w:color w:val="0000FF"/>
        </w:rPr>
        <w:t>“Item 2. Management’s Discussion and Analysis—Non-GAAP Financial Information.”</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70" w:name="page71"/>
    <w:bookmarkEnd w:id="70"/>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Performance Metrics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Operating performance metrics presented in the table below have been derived from information used by management to monitor and manage Busey’s financial performance. In addition to the non-operating expenses in the table above, adjusted operating performance metrics also reflect adjustments for strategic balance sheet repositioning and net securities gains and losses to align with industry and research analyst reporting. The objective of Busey’s presentation of adjusted earnings and adjusted earnings metrics is to allow investors and analysts to more clearly identify quarterly trends in core earnings performance: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24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 except per share amounts)</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2024</w:t>
            </w:r>
          </w:p>
        </w:tc>
      </w:tr>
      <w:tr>
        <w:trPr>
          <w:trHeight w:val="203"/>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Net income (loss) (GAAP)</w:t>
            </w:r>
          </w:p>
        </w:tc>
        <w:tc>
          <w:tcPr>
            <w:tcW w:w="360" w:type="dxa"/>
            <w:vAlign w:val="bottom"/>
            <w:shd w:val="clear" w:color="auto" w:fill="E0E7ED"/>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ind w:right="71"/>
              <w:spacing w:after="0"/>
              <w:rPr>
                <w:sz w:val="20"/>
                <w:szCs w:val="20"/>
                <w:color w:val="auto"/>
              </w:rPr>
            </w:pPr>
            <w:r>
              <w:rPr>
                <w:rFonts w:ascii="Arial" w:cs="Arial" w:eastAsia="Arial" w:hAnsi="Arial"/>
                <w:sz w:val="14"/>
                <w:szCs w:val="14"/>
                <w:color w:val="auto"/>
              </w:rPr>
              <w:t>(29,990)</w:t>
            </w:r>
          </w:p>
        </w:tc>
        <w:tc>
          <w:tcPr>
            <w:tcW w:w="80" w:type="dxa"/>
            <w:vAlign w:val="bottom"/>
            <w:shd w:val="clear" w:color="auto" w:fill="E0E7ED"/>
          </w:tcPr>
          <w:p>
            <w:pPr>
              <w:spacing w:after="0"/>
              <w:rPr>
                <w:sz w:val="17"/>
                <w:szCs w:val="17"/>
                <w:color w:val="auto"/>
              </w:rPr>
            </w:pPr>
          </w:p>
        </w:tc>
        <w:tc>
          <w:tcPr>
            <w:tcW w:w="360" w:type="dxa"/>
            <w:vAlign w:val="bottom"/>
            <w:shd w:val="clear" w:color="auto" w:fill="E0E7ED"/>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26,225</w:t>
            </w:r>
          </w:p>
        </w:tc>
      </w:tr>
      <w:tr>
        <w:trPr>
          <w:trHeight w:val="212"/>
        </w:trPr>
        <w:tc>
          <w:tcPr>
            <w:tcW w:w="8240" w:type="dxa"/>
            <w:vAlign w:val="bottom"/>
          </w:tcPr>
          <w:p>
            <w:pPr>
              <w:ind w:left="20"/>
              <w:spacing w:after="0"/>
              <w:rPr>
                <w:sz w:val="20"/>
                <w:szCs w:val="20"/>
                <w:color w:val="auto"/>
              </w:rPr>
            </w:pPr>
            <w:r>
              <w:rPr>
                <w:rFonts w:ascii="Arial" w:cs="Arial" w:eastAsia="Arial" w:hAnsi="Arial"/>
                <w:sz w:val="14"/>
                <w:szCs w:val="14"/>
                <w:color w:val="auto"/>
              </w:rPr>
              <w:t>Adjusted net income (Non-GAAP)</w:t>
            </w:r>
            <w:r>
              <w:rPr>
                <w:rFonts w:ascii="Arial" w:cs="Arial" w:eastAsia="Arial" w:hAnsi="Arial"/>
                <w:sz w:val="18"/>
                <w:szCs w:val="18"/>
                <w:color w:val="auto"/>
                <w:vertAlign w:val="superscript"/>
              </w:rPr>
              <w:t>1, 2</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39,898</w:t>
            </w:r>
          </w:p>
        </w:tc>
        <w:tc>
          <w:tcPr>
            <w:tcW w:w="80" w:type="dxa"/>
            <w:vAlign w:val="bottom"/>
          </w:tcPr>
          <w:p>
            <w:pPr>
              <w:spacing w:after="0"/>
              <w:rPr>
                <w:sz w:val="18"/>
                <w:szCs w:val="18"/>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25,713</w:t>
            </w:r>
          </w:p>
        </w:tc>
      </w:tr>
      <w:tr>
        <w:trPr>
          <w:trHeight w:val="212"/>
        </w:trPr>
        <w:tc>
          <w:tcPr>
            <w:tcW w:w="824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r>
      <w:tr>
        <w:trPr>
          <w:trHeight w:val="202"/>
        </w:trPr>
        <w:tc>
          <w:tcPr>
            <w:tcW w:w="8240" w:type="dxa"/>
            <w:vAlign w:val="bottom"/>
          </w:tcPr>
          <w:p>
            <w:pPr>
              <w:ind w:left="20"/>
              <w:spacing w:after="0"/>
              <w:rPr>
                <w:sz w:val="20"/>
                <w:szCs w:val="20"/>
                <w:color w:val="auto"/>
              </w:rPr>
            </w:pPr>
            <w:r>
              <w:rPr>
                <w:rFonts w:ascii="Arial" w:cs="Arial" w:eastAsia="Arial" w:hAnsi="Arial"/>
                <w:sz w:val="14"/>
                <w:szCs w:val="14"/>
                <w:color w:val="auto"/>
              </w:rPr>
              <w:t>Diluted earnings (loss) per common share (GAAP)</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(0.44)</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0.46</w:t>
            </w:r>
          </w:p>
        </w:tc>
      </w:tr>
      <w:tr>
        <w:trPr>
          <w:trHeight w:val="222"/>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Adjusted diluted earnings per common share (Non-GAAP)</w:t>
            </w:r>
            <w:r>
              <w:rPr>
                <w:rFonts w:ascii="Arial" w:cs="Arial" w:eastAsia="Arial" w:hAnsi="Arial"/>
                <w:sz w:val="18"/>
                <w:szCs w:val="18"/>
                <w:color w:val="auto"/>
                <w:vertAlign w:val="superscript"/>
              </w:rPr>
              <w:t>1, 2, 3</w:t>
            </w:r>
          </w:p>
        </w:tc>
        <w:tc>
          <w:tcPr>
            <w:tcW w:w="360" w:type="dxa"/>
            <w:vAlign w:val="bottom"/>
            <w:shd w:val="clear" w:color="auto" w:fill="E0E7ED"/>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0.57</w:t>
            </w: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0.46</w:t>
            </w:r>
          </w:p>
        </w:tc>
      </w:tr>
      <w:tr>
        <w:trPr>
          <w:trHeight w:val="212"/>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Return on average assets (Non-GAAP)</w:t>
            </w:r>
            <w:r>
              <w:rPr>
                <w:rFonts w:ascii="Arial" w:cs="Arial" w:eastAsia="Arial" w:hAnsi="Arial"/>
                <w:sz w:val="18"/>
                <w:szCs w:val="18"/>
                <w:color w:val="auto"/>
                <w:vertAlign w:val="superscript"/>
              </w:rPr>
              <w:t>1, 4</w:t>
            </w: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(0.82)%</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0.88 %</w:t>
            </w:r>
          </w:p>
        </w:tc>
      </w:tr>
      <w:tr>
        <w:trPr>
          <w:trHeight w:val="212"/>
        </w:trPr>
        <w:tc>
          <w:tcPr>
            <w:tcW w:w="8240" w:type="dxa"/>
            <w:vAlign w:val="bottom"/>
          </w:tcPr>
          <w:p>
            <w:pPr>
              <w:ind w:left="20"/>
              <w:spacing w:after="0"/>
              <w:rPr>
                <w:sz w:val="20"/>
                <w:szCs w:val="20"/>
                <w:color w:val="auto"/>
              </w:rPr>
            </w:pPr>
            <w:r>
              <w:rPr>
                <w:rFonts w:ascii="Arial" w:cs="Arial" w:eastAsia="Arial" w:hAnsi="Arial"/>
                <w:sz w:val="14"/>
                <w:szCs w:val="14"/>
                <w:color w:val="auto"/>
              </w:rPr>
              <w:t>Adjusted return on average assets (Non-GAAP)</w:t>
            </w:r>
            <w:r>
              <w:rPr>
                <w:rFonts w:ascii="Arial" w:cs="Arial" w:eastAsia="Arial" w:hAnsi="Arial"/>
                <w:sz w:val="18"/>
                <w:szCs w:val="18"/>
                <w:color w:val="auto"/>
                <w:vertAlign w:val="superscript"/>
              </w:rPr>
              <w:t>1, 2, 4</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0.86 %</w:t>
            </w:r>
          </w:p>
        </w:tc>
      </w:tr>
      <w:tr>
        <w:trPr>
          <w:trHeight w:val="212"/>
        </w:trPr>
        <w:tc>
          <w:tcPr>
            <w:tcW w:w="824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r>
      <w:tr>
        <w:trPr>
          <w:trHeight w:val="212"/>
        </w:trPr>
        <w:tc>
          <w:tcPr>
            <w:tcW w:w="8240" w:type="dxa"/>
            <w:vAlign w:val="bottom"/>
          </w:tcPr>
          <w:p>
            <w:pPr>
              <w:ind w:left="20"/>
              <w:spacing w:after="0"/>
              <w:rPr>
                <w:sz w:val="20"/>
                <w:szCs w:val="20"/>
                <w:color w:val="auto"/>
              </w:rPr>
            </w:pPr>
            <w:r>
              <w:rPr>
                <w:rFonts w:ascii="Arial" w:cs="Arial" w:eastAsia="Arial" w:hAnsi="Arial"/>
                <w:sz w:val="14"/>
                <w:szCs w:val="14"/>
                <w:color w:val="auto"/>
              </w:rPr>
              <w:t>Return on average tangible common equity (Non-GAAP)</w:t>
            </w:r>
            <w:r>
              <w:rPr>
                <w:rFonts w:ascii="Arial" w:cs="Arial" w:eastAsia="Arial" w:hAnsi="Arial"/>
                <w:sz w:val="18"/>
                <w:szCs w:val="18"/>
                <w:color w:val="auto"/>
                <w:vertAlign w:val="superscript"/>
              </w:rPr>
              <w:t>1, 4</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11.43 %</w:t>
            </w:r>
          </w:p>
        </w:tc>
      </w:tr>
      <w:tr>
        <w:trPr>
          <w:trHeight w:val="212"/>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Adjusted return on average tangible common equity (Non-GAAP)</w:t>
            </w:r>
            <w:r>
              <w:rPr>
                <w:rFonts w:ascii="Arial" w:cs="Arial" w:eastAsia="Arial" w:hAnsi="Arial"/>
                <w:sz w:val="18"/>
                <w:szCs w:val="18"/>
                <w:color w:val="auto"/>
                <w:vertAlign w:val="superscript"/>
              </w:rPr>
              <w:t>1, 2, 4</w:t>
            </w: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10.64 %</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11.21 %</w:t>
            </w:r>
          </w:p>
        </w:tc>
      </w:tr>
      <w:tr>
        <w:trPr>
          <w:trHeight w:val="212"/>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Pre-provision net revenue (Non-GAAP)</w:t>
            </w:r>
            <w:r>
              <w:rPr>
                <w:rFonts w:ascii="Arial" w:cs="Arial" w:eastAsia="Arial" w:hAnsi="Arial"/>
                <w:sz w:val="18"/>
                <w:szCs w:val="18"/>
                <w:color w:val="auto"/>
                <w:vertAlign w:val="superscript"/>
              </w:rPr>
              <w:t>1</w:t>
            </w:r>
          </w:p>
        </w:tc>
        <w:tc>
          <w:tcPr>
            <w:tcW w:w="360" w:type="dxa"/>
            <w:vAlign w:val="bottom"/>
            <w:shd w:val="clear" w:color="auto" w:fill="E0E7ED"/>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25,551</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46,373</w:t>
            </w:r>
          </w:p>
        </w:tc>
      </w:tr>
      <w:tr>
        <w:trPr>
          <w:trHeight w:val="212"/>
        </w:trPr>
        <w:tc>
          <w:tcPr>
            <w:tcW w:w="8240" w:type="dxa"/>
            <w:vAlign w:val="bottom"/>
          </w:tcPr>
          <w:p>
            <w:pPr>
              <w:ind w:left="20"/>
              <w:spacing w:after="0"/>
              <w:rPr>
                <w:sz w:val="20"/>
                <w:szCs w:val="20"/>
                <w:color w:val="auto"/>
              </w:rPr>
            </w:pPr>
            <w:r>
              <w:rPr>
                <w:rFonts w:ascii="Arial" w:cs="Arial" w:eastAsia="Arial" w:hAnsi="Arial"/>
                <w:sz w:val="14"/>
                <w:szCs w:val="14"/>
                <w:color w:val="auto"/>
              </w:rPr>
              <w:t>Adjusted pre-provision net revenue (Non-GAAP)</w:t>
            </w:r>
            <w:r>
              <w:rPr>
                <w:rFonts w:ascii="Arial" w:cs="Arial" w:eastAsia="Arial" w:hAnsi="Arial"/>
                <w:sz w:val="18"/>
                <w:szCs w:val="18"/>
                <w:color w:val="auto"/>
                <w:vertAlign w:val="superscript"/>
              </w:rPr>
              <w:t>1</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54,718</w:t>
            </w:r>
          </w:p>
        </w:tc>
        <w:tc>
          <w:tcPr>
            <w:tcW w:w="80" w:type="dxa"/>
            <w:vAlign w:val="bottom"/>
          </w:tcPr>
          <w:p>
            <w:pPr>
              <w:spacing w:after="0"/>
              <w:rPr>
                <w:sz w:val="18"/>
                <w:szCs w:val="18"/>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38,638</w:t>
            </w:r>
          </w:p>
        </w:tc>
      </w:tr>
      <w:tr>
        <w:trPr>
          <w:trHeight w:val="212"/>
        </w:trPr>
        <w:tc>
          <w:tcPr>
            <w:tcW w:w="824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r>
      <w:tr>
        <w:trPr>
          <w:trHeight w:val="212"/>
        </w:trPr>
        <w:tc>
          <w:tcPr>
            <w:tcW w:w="8240" w:type="dxa"/>
            <w:vAlign w:val="bottom"/>
          </w:tcPr>
          <w:p>
            <w:pPr>
              <w:ind w:left="20"/>
              <w:spacing w:after="0"/>
              <w:rPr>
                <w:sz w:val="20"/>
                <w:szCs w:val="20"/>
                <w:color w:val="auto"/>
              </w:rPr>
            </w:pPr>
            <w:r>
              <w:rPr>
                <w:rFonts w:ascii="Arial" w:cs="Arial" w:eastAsia="Arial" w:hAnsi="Arial"/>
                <w:sz w:val="14"/>
                <w:szCs w:val="14"/>
                <w:color w:val="auto"/>
              </w:rPr>
              <w:t>Pre-provision net revenue to average total assets (Non-GAAP)</w:t>
            </w:r>
            <w:r>
              <w:rPr>
                <w:rFonts w:ascii="Arial" w:cs="Arial" w:eastAsia="Arial" w:hAnsi="Arial"/>
                <w:sz w:val="18"/>
                <w:szCs w:val="18"/>
                <w:color w:val="auto"/>
                <w:vertAlign w:val="superscript"/>
              </w:rPr>
              <w:t>1, 4</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0.70 %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1.55 %</w:t>
            </w:r>
          </w:p>
        </w:tc>
      </w:tr>
      <w:tr>
        <w:trPr>
          <w:trHeight w:val="212"/>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Adjusted pre-provision net revenue to average total assets (Non-GAAP)</w:t>
            </w:r>
            <w:r>
              <w:rPr>
                <w:rFonts w:ascii="Arial" w:cs="Arial" w:eastAsia="Arial" w:hAnsi="Arial"/>
                <w:sz w:val="18"/>
                <w:szCs w:val="18"/>
                <w:color w:val="auto"/>
                <w:vertAlign w:val="superscript"/>
              </w:rPr>
              <w:t>1, 4</w:t>
            </w: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1.50 %</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1.29 %</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ind w:left="380" w:hanging="248"/>
        <w:spacing w:after="0" w:line="261" w:lineRule="auto"/>
        <w:tabs>
          <w:tab w:leader="none" w:pos="4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 xml:space="preserve">For a reconciliation of non-GAAP measures to the most directly comparable GAAP financial measures, see </w:t>
      </w:r>
      <w:r>
        <w:rPr>
          <w:rFonts w:ascii="Arial" w:cs="Arial" w:eastAsia="Arial" w:hAnsi="Arial"/>
          <w:sz w:val="11"/>
          <w:szCs w:val="11"/>
          <w:i w:val="1"/>
          <w:iCs w:val="1"/>
          <w:u w:val="single" w:color="auto"/>
          <w:color w:val="0000FF"/>
        </w:rPr>
        <w:t>“Item 2. Management’s Discussion and Analysis—Non-GAAP Financial Information”</w:t>
      </w:r>
      <w:r>
        <w:rPr>
          <w:rFonts w:ascii="Arial" w:cs="Arial" w:eastAsia="Arial" w:hAnsi="Arial"/>
          <w:sz w:val="11"/>
          <w:szCs w:val="11"/>
          <w:color w:val="auto"/>
        </w:rPr>
        <w:t xml:space="preserve"> included in this Quarterly Report.</w:t>
      </w:r>
    </w:p>
    <w:p>
      <w:pPr>
        <w:ind w:left="380" w:hanging="248"/>
        <w:spacing w:after="0" w:line="251" w:lineRule="auto"/>
        <w:tabs>
          <w:tab w:leader="none" w:pos="379" w:val="left"/>
        </w:tabs>
        <w:numPr>
          <w:ilvl w:val="0"/>
          <w:numId w:val="22"/>
        </w:numPr>
        <w:rPr>
          <w:rFonts w:ascii="Arial" w:cs="Arial" w:eastAsia="Arial" w:hAnsi="Arial"/>
          <w:sz w:val="11"/>
          <w:szCs w:val="11"/>
          <w:color w:val="auto"/>
        </w:rPr>
      </w:pPr>
      <w:r>
        <w:rPr>
          <w:rFonts w:ascii="Arial" w:cs="Arial" w:eastAsia="Arial" w:hAnsi="Arial"/>
          <w:sz w:val="11"/>
          <w:szCs w:val="11"/>
          <w:color w:val="auto"/>
        </w:rPr>
        <w:t>Beginning in 2025, Busey revised its calculation of adjusted net income for all periods presented to include, as applicable, adjustments for net securities gains and losses, realized net gains and losses on the sale of mortgage servicing rights, and non-recurring deferred tax valuation adjustments.</w:t>
      </w:r>
    </w:p>
    <w:p>
      <w:pPr>
        <w:ind w:left="380" w:hanging="248"/>
        <w:spacing w:after="0"/>
        <w:tabs>
          <w:tab w:leader="none" w:pos="3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Dilution includes shares that would have been dilutive if there had been net income during the period.</w:t>
      </w:r>
    </w:p>
    <w:p>
      <w:pPr>
        <w:spacing w:after="0" w:line="11" w:lineRule="exact"/>
        <w:rPr>
          <w:rFonts w:ascii="Arial" w:cs="Arial" w:eastAsia="Arial" w:hAnsi="Arial"/>
          <w:sz w:val="11"/>
          <w:szCs w:val="11"/>
          <w:color w:val="auto"/>
        </w:rPr>
      </w:pPr>
    </w:p>
    <w:p>
      <w:pPr>
        <w:ind w:left="380" w:hanging="248"/>
        <w:spacing w:after="0"/>
        <w:tabs>
          <w:tab w:leader="none" w:pos="3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Annualized measure.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Net interest income is the difference between interest income and fees earned on loans and investments (“interest-earning assets”) and interest expense incurred on deposits and borrowings (“interest-bearing liabilities”). Interest rate levels and volume fluctuations within interest-earning assets and interest-bearing liabilities impact net interest income. Net interest margin is tax-equivalent net interest income as a percent of average interest-earning assets.</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Consolidated Average Balance Sheets and Interest Rates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71" w:name="page72"/>
    <w:bookmarkEnd w:id="71"/>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table below presents Busey’s Consolidated Average Balance Sheets, summarizing average balances for each major category of assets and liabilities, the interest income earned on interest-earning assets, the interest expense paid for interest-bearing liabilities, and the related interest yields for the periods indicated. Average information is provided on a daily average basis: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39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3"/>
          </w:tcPr>
          <w:p>
            <w:pPr>
              <w:ind w:left="420"/>
              <w:spacing w:after="0"/>
              <w:rPr>
                <w:sz w:val="20"/>
                <w:szCs w:val="20"/>
                <w:color w:val="auto"/>
              </w:rPr>
            </w:pPr>
            <w:r>
              <w:rPr>
                <w:rFonts w:ascii="Arial" w:cs="Arial" w:eastAsia="Arial" w:hAnsi="Arial"/>
                <w:sz w:val="11"/>
                <w:szCs w:val="11"/>
                <w:b w:val="1"/>
                <w:bCs w:val="1"/>
                <w:color w:val="auto"/>
              </w:rPr>
              <w:t>Three Months Ended March 31,</w:t>
            </w:r>
          </w:p>
        </w:tc>
        <w:tc>
          <w:tcPr>
            <w:tcW w:w="1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2025</w:t>
            </w:r>
          </w:p>
        </w:tc>
        <w:tc>
          <w:tcPr>
            <w:tcW w:w="1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920" w:type="dxa"/>
            <w:vAlign w:val="bottom"/>
            <w:vMerge w:val="restart"/>
          </w:tcPr>
          <w:p>
            <w:pPr>
              <w:spacing w:after="0"/>
              <w:rPr>
                <w:sz w:val="20"/>
                <w:szCs w:val="20"/>
                <w:color w:val="auto"/>
              </w:rPr>
            </w:pPr>
            <w:r>
              <w:rPr>
                <w:rFonts w:ascii="Arial" w:cs="Arial" w:eastAsia="Arial" w:hAnsi="Arial"/>
                <w:sz w:val="11"/>
                <w:szCs w:val="11"/>
                <w:i w:val="1"/>
                <w:iCs w:val="1"/>
                <w:color w:val="auto"/>
              </w:rPr>
              <w:t>(dollars in thousands)</w:t>
            </w:r>
          </w:p>
        </w:tc>
        <w:tc>
          <w:tcPr>
            <w:tcW w:w="1160" w:type="dxa"/>
            <w:vAlign w:val="bottom"/>
          </w:tcPr>
          <w:p>
            <w:pPr>
              <w:ind w:left="340"/>
              <w:spacing w:after="0" w:line="118" w:lineRule="exact"/>
              <w:rPr>
                <w:sz w:val="20"/>
                <w:szCs w:val="20"/>
                <w:color w:val="auto"/>
              </w:rPr>
            </w:pPr>
            <w:r>
              <w:rPr>
                <w:rFonts w:ascii="Arial" w:cs="Arial" w:eastAsia="Arial" w:hAnsi="Arial"/>
                <w:sz w:val="11"/>
                <w:szCs w:val="11"/>
                <w:b w:val="1"/>
                <w:bCs w:val="1"/>
                <w:color w:val="auto"/>
              </w:rPr>
              <w:t>Average</w:t>
            </w:r>
          </w:p>
        </w:tc>
        <w:tc>
          <w:tcPr>
            <w:tcW w:w="1260" w:type="dxa"/>
            <w:vAlign w:val="bottom"/>
          </w:tcPr>
          <w:p>
            <w:pPr>
              <w:jc w:val="center"/>
              <w:ind w:right="3"/>
              <w:spacing w:after="0" w:line="118" w:lineRule="exact"/>
              <w:rPr>
                <w:sz w:val="20"/>
                <w:szCs w:val="20"/>
                <w:color w:val="auto"/>
              </w:rPr>
            </w:pPr>
            <w:r>
              <w:rPr>
                <w:rFonts w:ascii="Arial" w:cs="Arial" w:eastAsia="Arial" w:hAnsi="Arial"/>
                <w:sz w:val="11"/>
                <w:szCs w:val="11"/>
                <w:b w:val="1"/>
                <w:bCs w:val="1"/>
                <w:color w:val="auto"/>
              </w:rPr>
              <w:t>Income/</w:t>
            </w:r>
          </w:p>
        </w:tc>
        <w:tc>
          <w:tcPr>
            <w:tcW w:w="1280" w:type="dxa"/>
            <w:vAlign w:val="bottom"/>
            <w:gridSpan w:val="2"/>
          </w:tcPr>
          <w:p>
            <w:pPr>
              <w:ind w:left="440"/>
              <w:spacing w:after="0" w:line="118" w:lineRule="exact"/>
              <w:rPr>
                <w:sz w:val="20"/>
                <w:szCs w:val="20"/>
                <w:color w:val="auto"/>
              </w:rPr>
            </w:pPr>
            <w:r>
              <w:rPr>
                <w:rFonts w:ascii="Arial" w:cs="Arial" w:eastAsia="Arial" w:hAnsi="Arial"/>
                <w:sz w:val="11"/>
                <w:szCs w:val="11"/>
                <w:b w:val="1"/>
                <w:bCs w:val="1"/>
                <w:color w:val="auto"/>
              </w:rPr>
              <w:t>Yield/</w:t>
            </w:r>
          </w:p>
        </w:tc>
        <w:tc>
          <w:tcPr>
            <w:tcW w:w="1180" w:type="dxa"/>
            <w:vAlign w:val="bottom"/>
          </w:tcPr>
          <w:p>
            <w:pPr>
              <w:ind w:left="360"/>
              <w:spacing w:after="0" w:line="118" w:lineRule="exact"/>
              <w:rPr>
                <w:sz w:val="20"/>
                <w:szCs w:val="20"/>
                <w:color w:val="auto"/>
              </w:rPr>
            </w:pPr>
            <w:r>
              <w:rPr>
                <w:rFonts w:ascii="Arial" w:cs="Arial" w:eastAsia="Arial" w:hAnsi="Arial"/>
                <w:sz w:val="11"/>
                <w:szCs w:val="11"/>
                <w:b w:val="1"/>
                <w:bCs w:val="1"/>
                <w:color w:val="auto"/>
              </w:rPr>
              <w:t>Average</w:t>
            </w:r>
          </w:p>
        </w:tc>
        <w:tc>
          <w:tcPr>
            <w:tcW w:w="1280" w:type="dxa"/>
            <w:vAlign w:val="bottom"/>
          </w:tcPr>
          <w:p>
            <w:pPr>
              <w:jc w:val="center"/>
              <w:ind w:right="3"/>
              <w:spacing w:after="0" w:line="118" w:lineRule="exact"/>
              <w:rPr>
                <w:sz w:val="20"/>
                <w:szCs w:val="20"/>
                <w:color w:val="auto"/>
              </w:rPr>
            </w:pPr>
            <w:r>
              <w:rPr>
                <w:rFonts w:ascii="Arial" w:cs="Arial" w:eastAsia="Arial" w:hAnsi="Arial"/>
                <w:sz w:val="11"/>
                <w:szCs w:val="11"/>
                <w:b w:val="1"/>
                <w:bCs w:val="1"/>
                <w:color w:val="auto"/>
              </w:rPr>
              <w:t>Income/</w:t>
            </w:r>
          </w:p>
        </w:tc>
        <w:tc>
          <w:tcPr>
            <w:tcW w:w="1180" w:type="dxa"/>
            <w:vAlign w:val="bottom"/>
          </w:tcPr>
          <w:p>
            <w:pPr>
              <w:ind w:left="420"/>
              <w:spacing w:after="0" w:line="118" w:lineRule="exact"/>
              <w:rPr>
                <w:sz w:val="20"/>
                <w:szCs w:val="20"/>
                <w:color w:val="auto"/>
              </w:rPr>
            </w:pPr>
            <w:r>
              <w:rPr>
                <w:rFonts w:ascii="Arial" w:cs="Arial" w:eastAsia="Arial" w:hAnsi="Arial"/>
                <w:sz w:val="11"/>
                <w:szCs w:val="11"/>
                <w:b w:val="1"/>
                <w:bCs w:val="1"/>
                <w:color w:val="auto"/>
              </w:rPr>
              <w:t>Yield/</w:t>
            </w:r>
          </w:p>
        </w:tc>
        <w:tc>
          <w:tcPr>
            <w:tcW w:w="0" w:type="dxa"/>
            <w:vAlign w:val="bottom"/>
          </w:tcPr>
          <w:p>
            <w:pPr>
              <w:spacing w:after="0"/>
              <w:rPr>
                <w:sz w:val="1"/>
                <w:szCs w:val="1"/>
                <w:color w:val="auto"/>
              </w:rPr>
            </w:pPr>
          </w:p>
        </w:tc>
      </w:tr>
      <w:tr>
        <w:trPr>
          <w:trHeight w:val="138"/>
        </w:trPr>
        <w:tc>
          <w:tcPr>
            <w:tcW w:w="3920" w:type="dxa"/>
            <w:vAlign w:val="bottom"/>
            <w:vMerge w:val="continue"/>
          </w:tcPr>
          <w:p>
            <w:pPr>
              <w:spacing w:after="0"/>
              <w:rPr>
                <w:sz w:val="11"/>
                <w:szCs w:val="11"/>
                <w:color w:val="auto"/>
              </w:rPr>
            </w:pPr>
          </w:p>
        </w:tc>
        <w:tc>
          <w:tcPr>
            <w:tcW w:w="1160" w:type="dxa"/>
            <w:vAlign w:val="bottom"/>
          </w:tcPr>
          <w:p>
            <w:pPr>
              <w:ind w:left="340"/>
              <w:spacing w:after="0"/>
              <w:rPr>
                <w:sz w:val="20"/>
                <w:szCs w:val="20"/>
                <w:color w:val="auto"/>
              </w:rPr>
            </w:pPr>
            <w:r>
              <w:rPr>
                <w:rFonts w:ascii="Arial" w:cs="Arial" w:eastAsia="Arial" w:hAnsi="Arial"/>
                <w:sz w:val="11"/>
                <w:szCs w:val="11"/>
                <w:b w:val="1"/>
                <w:bCs w:val="1"/>
                <w:color w:val="auto"/>
              </w:rPr>
              <w:t>Balance</w:t>
            </w:r>
          </w:p>
        </w:tc>
        <w:tc>
          <w:tcPr>
            <w:tcW w:w="1260" w:type="dxa"/>
            <w:vAlign w:val="bottom"/>
          </w:tcPr>
          <w:p>
            <w:pPr>
              <w:jc w:val="center"/>
              <w:ind w:right="3"/>
              <w:spacing w:after="0"/>
              <w:rPr>
                <w:sz w:val="20"/>
                <w:szCs w:val="20"/>
                <w:color w:val="auto"/>
              </w:rPr>
            </w:pPr>
            <w:r>
              <w:rPr>
                <w:rFonts w:ascii="Arial" w:cs="Arial" w:eastAsia="Arial" w:hAnsi="Arial"/>
                <w:sz w:val="11"/>
                <w:szCs w:val="11"/>
                <w:b w:val="1"/>
                <w:bCs w:val="1"/>
                <w:color w:val="auto"/>
              </w:rPr>
              <w:t>Expense</w:t>
            </w:r>
          </w:p>
        </w:tc>
        <w:tc>
          <w:tcPr>
            <w:tcW w:w="1280" w:type="dxa"/>
            <w:vAlign w:val="bottom"/>
            <w:gridSpan w:val="2"/>
          </w:tcPr>
          <w:p>
            <w:pPr>
              <w:ind w:left="460"/>
              <w:spacing w:after="0" w:line="138" w:lineRule="exact"/>
              <w:rPr>
                <w:sz w:val="20"/>
                <w:szCs w:val="20"/>
                <w:color w:val="auto"/>
              </w:rPr>
            </w:pPr>
            <w:r>
              <w:rPr>
                <w:rFonts w:ascii="Arial" w:cs="Arial" w:eastAsia="Arial" w:hAnsi="Arial"/>
                <w:sz w:val="11"/>
                <w:szCs w:val="11"/>
                <w:b w:val="1"/>
                <w:bCs w:val="1"/>
                <w:color w:val="auto"/>
              </w:rPr>
              <w:t>Rate</w:t>
            </w:r>
            <w:r>
              <w:rPr>
                <w:rFonts w:ascii="Arial" w:cs="Arial" w:eastAsia="Arial" w:hAnsi="Arial"/>
                <w:sz w:val="14"/>
                <w:szCs w:val="14"/>
                <w:b w:val="1"/>
                <w:bCs w:val="1"/>
                <w:color w:val="auto"/>
                <w:vertAlign w:val="superscript"/>
              </w:rPr>
              <w:t>5</w:t>
            </w:r>
          </w:p>
        </w:tc>
        <w:tc>
          <w:tcPr>
            <w:tcW w:w="1180" w:type="dxa"/>
            <w:vAlign w:val="bottom"/>
          </w:tcPr>
          <w:p>
            <w:pPr>
              <w:ind w:left="360"/>
              <w:spacing w:after="0"/>
              <w:rPr>
                <w:sz w:val="20"/>
                <w:szCs w:val="20"/>
                <w:color w:val="auto"/>
              </w:rPr>
            </w:pPr>
            <w:r>
              <w:rPr>
                <w:rFonts w:ascii="Arial" w:cs="Arial" w:eastAsia="Arial" w:hAnsi="Arial"/>
                <w:sz w:val="11"/>
                <w:szCs w:val="11"/>
                <w:b w:val="1"/>
                <w:bCs w:val="1"/>
                <w:color w:val="auto"/>
              </w:rPr>
              <w:t>Balance</w:t>
            </w:r>
          </w:p>
        </w:tc>
        <w:tc>
          <w:tcPr>
            <w:tcW w:w="1280" w:type="dxa"/>
            <w:vAlign w:val="bottom"/>
          </w:tcPr>
          <w:p>
            <w:pPr>
              <w:jc w:val="center"/>
              <w:ind w:right="3"/>
              <w:spacing w:after="0"/>
              <w:rPr>
                <w:sz w:val="20"/>
                <w:szCs w:val="20"/>
                <w:color w:val="auto"/>
              </w:rPr>
            </w:pPr>
            <w:r>
              <w:rPr>
                <w:rFonts w:ascii="Arial" w:cs="Arial" w:eastAsia="Arial" w:hAnsi="Arial"/>
                <w:sz w:val="11"/>
                <w:szCs w:val="11"/>
                <w:b w:val="1"/>
                <w:bCs w:val="1"/>
                <w:color w:val="auto"/>
              </w:rPr>
              <w:t>Expense</w:t>
            </w:r>
          </w:p>
        </w:tc>
        <w:tc>
          <w:tcPr>
            <w:tcW w:w="1180" w:type="dxa"/>
            <w:vAlign w:val="bottom"/>
          </w:tcPr>
          <w:p>
            <w:pPr>
              <w:ind w:left="440"/>
              <w:spacing w:after="0" w:line="138" w:lineRule="exact"/>
              <w:rPr>
                <w:sz w:val="20"/>
                <w:szCs w:val="20"/>
                <w:color w:val="auto"/>
              </w:rPr>
            </w:pPr>
            <w:r>
              <w:rPr>
                <w:rFonts w:ascii="Arial" w:cs="Arial" w:eastAsia="Arial" w:hAnsi="Arial"/>
                <w:sz w:val="11"/>
                <w:szCs w:val="11"/>
                <w:b w:val="1"/>
                <w:bCs w:val="1"/>
                <w:color w:val="auto"/>
              </w:rPr>
              <w:t>Rate</w:t>
            </w:r>
            <w:r>
              <w:rPr>
                <w:rFonts w:ascii="Arial" w:cs="Arial" w:eastAsia="Arial" w:hAnsi="Arial"/>
                <w:sz w:val="14"/>
                <w:szCs w:val="14"/>
                <w:b w:val="1"/>
                <w:bCs w:val="1"/>
                <w:color w:val="auto"/>
                <w:vertAlign w:val="superscript"/>
              </w:rPr>
              <w:t>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94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1"/>
                <w:szCs w:val="11"/>
                <w:b w:val="1"/>
                <w:bCs w:val="1"/>
                <w:color w:val="auto"/>
              </w:rPr>
              <w:t>Assets</w:t>
            </w:r>
          </w:p>
        </w:tc>
        <w:tc>
          <w:tcPr>
            <w:tcW w:w="280" w:type="dxa"/>
            <w:vAlign w:val="bottom"/>
            <w:tcBorders>
              <w:top w:val="single" w:sz="8" w:color="auto"/>
            </w:tcBorders>
            <w:shd w:val="clear" w:color="auto" w:fill="E0E7ED"/>
          </w:tcPr>
          <w:p>
            <w:pPr>
              <w:spacing w:after="0"/>
              <w:rPr>
                <w:sz w:val="11"/>
                <w:szCs w:val="11"/>
                <w:color w:val="auto"/>
              </w:rPr>
            </w:pPr>
          </w:p>
        </w:tc>
        <w:tc>
          <w:tcPr>
            <w:tcW w:w="840" w:type="dxa"/>
            <w:vAlign w:val="bottom"/>
            <w:tcBorders>
              <w:top w:val="single" w:sz="8" w:color="auto"/>
            </w:tcBorders>
            <w:shd w:val="clear" w:color="auto" w:fill="E0E7ED"/>
          </w:tcPr>
          <w:p>
            <w:pPr>
              <w:spacing w:after="0"/>
              <w:rPr>
                <w:sz w:val="11"/>
                <w:szCs w:val="11"/>
                <w:color w:val="auto"/>
              </w:rPr>
            </w:pPr>
          </w:p>
        </w:tc>
        <w:tc>
          <w:tcPr>
            <w:tcW w:w="80" w:type="dxa"/>
            <w:vAlign w:val="bottom"/>
            <w:tcBorders>
              <w:top w:val="single" w:sz="8" w:color="E0E7ED"/>
            </w:tcBorders>
            <w:shd w:val="clear" w:color="auto" w:fill="E0E7ED"/>
          </w:tcPr>
          <w:p>
            <w:pPr>
              <w:spacing w:after="0"/>
              <w:rPr>
                <w:sz w:val="11"/>
                <w:szCs w:val="11"/>
                <w:color w:val="auto"/>
              </w:rPr>
            </w:pPr>
          </w:p>
        </w:tc>
        <w:tc>
          <w:tcPr>
            <w:tcW w:w="380" w:type="dxa"/>
            <w:vAlign w:val="bottom"/>
            <w:tcBorders>
              <w:top w:val="single" w:sz="8" w:color="auto"/>
            </w:tcBorders>
            <w:shd w:val="clear" w:color="auto" w:fill="E0E7ED"/>
          </w:tcPr>
          <w:p>
            <w:pPr>
              <w:spacing w:after="0"/>
              <w:rPr>
                <w:sz w:val="11"/>
                <w:szCs w:val="11"/>
                <w:color w:val="auto"/>
              </w:rPr>
            </w:pPr>
          </w:p>
        </w:tc>
        <w:tc>
          <w:tcPr>
            <w:tcW w:w="740" w:type="dxa"/>
            <w:vAlign w:val="bottom"/>
            <w:tcBorders>
              <w:top w:val="single" w:sz="8" w:color="auto"/>
            </w:tcBorders>
            <w:shd w:val="clear" w:color="auto" w:fill="E0E7ED"/>
          </w:tcPr>
          <w:p>
            <w:pPr>
              <w:spacing w:after="0"/>
              <w:rPr>
                <w:sz w:val="11"/>
                <w:szCs w:val="11"/>
                <w:color w:val="auto"/>
              </w:rPr>
            </w:pPr>
          </w:p>
        </w:tc>
        <w:tc>
          <w:tcPr>
            <w:tcW w:w="80" w:type="dxa"/>
            <w:vAlign w:val="bottom"/>
            <w:tcBorders>
              <w:top w:val="single" w:sz="8" w:color="E0E7ED"/>
            </w:tcBorders>
            <w:shd w:val="clear" w:color="auto" w:fill="E0E7ED"/>
          </w:tcPr>
          <w:p>
            <w:pPr>
              <w:spacing w:after="0"/>
              <w:rPr>
                <w:sz w:val="11"/>
                <w:szCs w:val="11"/>
                <w:color w:val="auto"/>
              </w:rPr>
            </w:pPr>
          </w:p>
        </w:tc>
        <w:tc>
          <w:tcPr>
            <w:tcW w:w="1220" w:type="dxa"/>
            <w:vAlign w:val="bottom"/>
            <w:tcBorders>
              <w:top w:val="single" w:sz="8" w:color="auto"/>
            </w:tcBorders>
            <w:shd w:val="clear" w:color="auto" w:fill="E0E7ED"/>
          </w:tcPr>
          <w:p>
            <w:pPr>
              <w:spacing w:after="0"/>
              <w:rPr>
                <w:sz w:val="11"/>
                <w:szCs w:val="11"/>
                <w:color w:val="auto"/>
              </w:rPr>
            </w:pPr>
          </w:p>
        </w:tc>
        <w:tc>
          <w:tcPr>
            <w:tcW w:w="80" w:type="dxa"/>
            <w:vAlign w:val="bottom"/>
            <w:tcBorders>
              <w:top w:val="single" w:sz="8" w:color="E0E7ED"/>
            </w:tcBorders>
            <w:shd w:val="clear" w:color="auto" w:fill="E0E7ED"/>
          </w:tcPr>
          <w:p>
            <w:pPr>
              <w:spacing w:after="0"/>
              <w:rPr>
                <w:sz w:val="11"/>
                <w:szCs w:val="11"/>
                <w:color w:val="auto"/>
              </w:rPr>
            </w:pPr>
          </w:p>
        </w:tc>
        <w:tc>
          <w:tcPr>
            <w:tcW w:w="300" w:type="dxa"/>
            <w:vAlign w:val="bottom"/>
            <w:tcBorders>
              <w:top w:val="single" w:sz="8" w:color="auto"/>
            </w:tcBorders>
            <w:shd w:val="clear" w:color="auto" w:fill="E0E7ED"/>
          </w:tcPr>
          <w:p>
            <w:pPr>
              <w:spacing w:after="0"/>
              <w:rPr>
                <w:sz w:val="11"/>
                <w:szCs w:val="11"/>
                <w:color w:val="auto"/>
              </w:rPr>
            </w:pPr>
          </w:p>
        </w:tc>
        <w:tc>
          <w:tcPr>
            <w:tcW w:w="840" w:type="dxa"/>
            <w:vAlign w:val="bottom"/>
            <w:tcBorders>
              <w:top w:val="single" w:sz="8" w:color="auto"/>
            </w:tcBorders>
            <w:shd w:val="clear" w:color="auto" w:fill="E0E7ED"/>
          </w:tcPr>
          <w:p>
            <w:pPr>
              <w:spacing w:after="0"/>
              <w:rPr>
                <w:sz w:val="11"/>
                <w:szCs w:val="11"/>
                <w:color w:val="auto"/>
              </w:rPr>
            </w:pPr>
          </w:p>
        </w:tc>
        <w:tc>
          <w:tcPr>
            <w:tcW w:w="80" w:type="dxa"/>
            <w:vAlign w:val="bottom"/>
            <w:tcBorders>
              <w:top w:val="single" w:sz="8" w:color="E0E7ED"/>
            </w:tcBorders>
            <w:shd w:val="clear" w:color="auto" w:fill="E0E7ED"/>
          </w:tcPr>
          <w:p>
            <w:pPr>
              <w:spacing w:after="0"/>
              <w:rPr>
                <w:sz w:val="11"/>
                <w:szCs w:val="11"/>
                <w:color w:val="auto"/>
              </w:rPr>
            </w:pPr>
          </w:p>
        </w:tc>
        <w:tc>
          <w:tcPr>
            <w:tcW w:w="380" w:type="dxa"/>
            <w:vAlign w:val="bottom"/>
            <w:tcBorders>
              <w:top w:val="single" w:sz="8" w:color="auto"/>
            </w:tcBorders>
            <w:shd w:val="clear" w:color="auto" w:fill="E0E7ED"/>
          </w:tcPr>
          <w:p>
            <w:pPr>
              <w:spacing w:after="0"/>
              <w:rPr>
                <w:sz w:val="11"/>
                <w:szCs w:val="11"/>
                <w:color w:val="auto"/>
              </w:rPr>
            </w:pPr>
          </w:p>
        </w:tc>
        <w:tc>
          <w:tcPr>
            <w:tcW w:w="740" w:type="dxa"/>
            <w:vAlign w:val="bottom"/>
            <w:tcBorders>
              <w:top w:val="single" w:sz="8" w:color="auto"/>
            </w:tcBorders>
            <w:shd w:val="clear" w:color="auto" w:fill="E0E7ED"/>
          </w:tcPr>
          <w:p>
            <w:pPr>
              <w:spacing w:after="0"/>
              <w:rPr>
                <w:sz w:val="11"/>
                <w:szCs w:val="11"/>
                <w:color w:val="auto"/>
              </w:rPr>
            </w:pPr>
          </w:p>
        </w:tc>
        <w:tc>
          <w:tcPr>
            <w:tcW w:w="100" w:type="dxa"/>
            <w:vAlign w:val="bottom"/>
            <w:tcBorders>
              <w:top w:val="single" w:sz="8" w:color="E0E7ED"/>
            </w:tcBorders>
            <w:shd w:val="clear" w:color="auto" w:fill="E0E7ED"/>
          </w:tcPr>
          <w:p>
            <w:pPr>
              <w:spacing w:after="0"/>
              <w:rPr>
                <w:sz w:val="11"/>
                <w:szCs w:val="11"/>
                <w:color w:val="auto"/>
              </w:rPr>
            </w:pPr>
          </w:p>
        </w:tc>
        <w:tc>
          <w:tcPr>
            <w:tcW w:w="1200" w:type="dxa"/>
            <w:vAlign w:val="bottom"/>
            <w:tcBorders>
              <w:top w:val="single" w:sz="8" w:color="auto"/>
            </w:tcBorders>
            <w:shd w:val="clear" w:color="auto" w:fill="E0E7ED"/>
          </w:tcPr>
          <w:p>
            <w:pPr>
              <w:spacing w:after="0"/>
              <w:rPr>
                <w:sz w:val="11"/>
                <w:szCs w:val="11"/>
                <w:color w:val="auto"/>
              </w:rPr>
            </w:pPr>
          </w:p>
        </w:tc>
      </w:tr>
      <w:tr>
        <w:trPr>
          <w:trHeight w:val="149"/>
        </w:trPr>
        <w:tc>
          <w:tcPr>
            <w:tcW w:w="3940" w:type="dxa"/>
            <w:vAlign w:val="bottom"/>
          </w:tcPr>
          <w:p>
            <w:pPr>
              <w:ind w:left="140"/>
              <w:spacing w:after="0"/>
              <w:rPr>
                <w:sz w:val="20"/>
                <w:szCs w:val="20"/>
                <w:color w:val="auto"/>
              </w:rPr>
            </w:pPr>
            <w:r>
              <w:rPr>
                <w:rFonts w:ascii="Arial" w:cs="Arial" w:eastAsia="Arial" w:hAnsi="Arial"/>
                <w:sz w:val="11"/>
                <w:szCs w:val="11"/>
                <w:color w:val="auto"/>
              </w:rPr>
              <w:t>Interest-bearing bank deposits and federal funds sold</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688,233</w:t>
            </w:r>
          </w:p>
        </w:tc>
        <w:tc>
          <w:tcPr>
            <w:tcW w:w="80" w:type="dxa"/>
            <w:vAlign w:val="bottom"/>
          </w:tcPr>
          <w:p>
            <w:pPr>
              <w:spacing w:after="0"/>
              <w:rPr>
                <w:sz w:val="12"/>
                <w:szCs w:val="12"/>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7,584</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4.47 %</w:t>
            </w: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488,610</w:t>
            </w:r>
          </w:p>
        </w:tc>
        <w:tc>
          <w:tcPr>
            <w:tcW w:w="80" w:type="dxa"/>
            <w:vAlign w:val="bottom"/>
          </w:tcPr>
          <w:p>
            <w:pPr>
              <w:spacing w:after="0"/>
              <w:rPr>
                <w:sz w:val="12"/>
                <w:szCs w:val="12"/>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6,471</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5.33 %</w:t>
            </w:r>
          </w:p>
        </w:tc>
      </w:tr>
      <w:tr>
        <w:trPr>
          <w:trHeight w:val="149"/>
        </w:trPr>
        <w:tc>
          <w:tcPr>
            <w:tcW w:w="3940" w:type="dxa"/>
            <w:vAlign w:val="bottom"/>
            <w:shd w:val="clear" w:color="auto" w:fill="E0E7ED"/>
          </w:tcPr>
          <w:p>
            <w:pPr>
              <w:ind w:left="140"/>
              <w:spacing w:after="0"/>
              <w:rPr>
                <w:sz w:val="20"/>
                <w:szCs w:val="20"/>
                <w:color w:val="auto"/>
              </w:rPr>
            </w:pPr>
            <w:r>
              <w:rPr>
                <w:rFonts w:ascii="Arial" w:cs="Arial" w:eastAsia="Arial" w:hAnsi="Arial"/>
                <w:sz w:val="11"/>
                <w:szCs w:val="11"/>
                <w:color w:val="auto"/>
              </w:rPr>
              <w:t>Investment securities:</w:t>
            </w:r>
          </w:p>
        </w:tc>
        <w:tc>
          <w:tcPr>
            <w:tcW w:w="280" w:type="dxa"/>
            <w:vAlign w:val="bottom"/>
            <w:shd w:val="clear" w:color="auto" w:fill="E0E7ED"/>
          </w:tcPr>
          <w:p>
            <w:pPr>
              <w:spacing w:after="0"/>
              <w:rPr>
                <w:sz w:val="12"/>
                <w:szCs w:val="12"/>
                <w:color w:val="auto"/>
              </w:rPr>
            </w:pPr>
          </w:p>
        </w:tc>
        <w:tc>
          <w:tcPr>
            <w:tcW w:w="8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8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200" w:type="dxa"/>
            <w:vAlign w:val="bottom"/>
            <w:shd w:val="clear" w:color="auto" w:fill="E0E7ED"/>
          </w:tcPr>
          <w:p>
            <w:pPr>
              <w:spacing w:after="0"/>
              <w:rPr>
                <w:sz w:val="12"/>
                <w:szCs w:val="12"/>
                <w:color w:val="auto"/>
              </w:rPr>
            </w:pPr>
          </w:p>
        </w:tc>
      </w:tr>
      <w:tr>
        <w:trPr>
          <w:trHeight w:val="149"/>
        </w:trPr>
        <w:tc>
          <w:tcPr>
            <w:tcW w:w="3940" w:type="dxa"/>
            <w:vAlign w:val="bottom"/>
          </w:tcPr>
          <w:p>
            <w:pPr>
              <w:ind w:left="280"/>
              <w:spacing w:after="0"/>
              <w:rPr>
                <w:sz w:val="20"/>
                <w:szCs w:val="20"/>
                <w:color w:val="auto"/>
              </w:rPr>
            </w:pPr>
            <w:r>
              <w:rPr>
                <w:rFonts w:ascii="Arial" w:cs="Arial" w:eastAsia="Arial" w:hAnsi="Arial"/>
                <w:sz w:val="11"/>
                <w:szCs w:val="11"/>
                <w:color w:val="auto"/>
              </w:rPr>
              <w:t>U.S. Government obligations</w:t>
            </w:r>
          </w:p>
        </w:tc>
        <w:tc>
          <w:tcPr>
            <w:tcW w:w="2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41,729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503</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4.89 %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12,405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2.01 %</w:t>
            </w:r>
          </w:p>
        </w:tc>
      </w:tr>
      <w:tr>
        <w:trPr>
          <w:trHeight w:val="159"/>
        </w:trPr>
        <w:tc>
          <w:tcPr>
            <w:tcW w:w="3940" w:type="dxa"/>
            <w:vAlign w:val="bottom"/>
            <w:shd w:val="clear" w:color="auto" w:fill="E0E7ED"/>
          </w:tcPr>
          <w:p>
            <w:pPr>
              <w:ind w:left="280"/>
              <w:spacing w:after="0" w:line="159" w:lineRule="exact"/>
              <w:rPr>
                <w:sz w:val="20"/>
                <w:szCs w:val="20"/>
                <w:color w:val="auto"/>
              </w:rPr>
            </w:pPr>
            <w:r>
              <w:rPr>
                <w:rFonts w:ascii="Arial" w:cs="Arial" w:eastAsia="Arial" w:hAnsi="Arial"/>
                <w:sz w:val="11"/>
                <w:szCs w:val="11"/>
                <w:color w:val="auto"/>
              </w:rPr>
              <w:t>Obligations of states and political subdivisions</w:t>
            </w:r>
            <w:r>
              <w:rPr>
                <w:rFonts w:ascii="Arial" w:cs="Arial" w:eastAsia="Arial" w:hAnsi="Arial"/>
                <w:sz w:val="14"/>
                <w:szCs w:val="14"/>
                <w:color w:val="auto"/>
                <w:vertAlign w:val="superscript"/>
              </w:rPr>
              <w:t>1</w:t>
            </w:r>
          </w:p>
        </w:tc>
        <w:tc>
          <w:tcPr>
            <w:tcW w:w="280" w:type="dxa"/>
            <w:vAlign w:val="bottom"/>
            <w:shd w:val="clear" w:color="auto" w:fill="E0E7ED"/>
          </w:tcPr>
          <w:p>
            <w:pPr>
              <w:spacing w:after="0"/>
              <w:rPr>
                <w:sz w:val="13"/>
                <w:szCs w:val="13"/>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192,984</w:t>
            </w:r>
          </w:p>
        </w:tc>
        <w:tc>
          <w:tcPr>
            <w:tcW w:w="80" w:type="dxa"/>
            <w:vAlign w:val="bottom"/>
            <w:shd w:val="clear" w:color="auto" w:fill="E0E7ED"/>
          </w:tcPr>
          <w:p>
            <w:pPr>
              <w:spacing w:after="0"/>
              <w:rPr>
                <w:sz w:val="13"/>
                <w:szCs w:val="13"/>
                <w:color w:val="auto"/>
              </w:rPr>
            </w:pPr>
          </w:p>
        </w:tc>
        <w:tc>
          <w:tcPr>
            <w:tcW w:w="380" w:type="dxa"/>
            <w:vAlign w:val="bottom"/>
            <w:shd w:val="clear" w:color="auto" w:fill="E0E7ED"/>
          </w:tcPr>
          <w:p>
            <w:pPr>
              <w:spacing w:after="0"/>
              <w:rPr>
                <w:sz w:val="13"/>
                <w:szCs w:val="13"/>
                <w:color w:val="auto"/>
              </w:rPr>
            </w:pP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1,531</w:t>
            </w:r>
          </w:p>
        </w:tc>
        <w:tc>
          <w:tcPr>
            <w:tcW w:w="80" w:type="dxa"/>
            <w:vAlign w:val="bottom"/>
            <w:shd w:val="clear" w:color="auto" w:fill="E0E7ED"/>
          </w:tcPr>
          <w:p>
            <w:pPr>
              <w:spacing w:after="0"/>
              <w:rPr>
                <w:sz w:val="13"/>
                <w:szCs w:val="13"/>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3.22 %</w:t>
            </w:r>
          </w:p>
        </w:tc>
        <w:tc>
          <w:tcPr>
            <w:tcW w:w="80" w:type="dxa"/>
            <w:vAlign w:val="bottom"/>
            <w:shd w:val="clear" w:color="auto" w:fill="E0E7ED"/>
          </w:tcPr>
          <w:p>
            <w:pPr>
              <w:spacing w:after="0"/>
              <w:rPr>
                <w:sz w:val="13"/>
                <w:szCs w:val="13"/>
                <w:color w:val="auto"/>
              </w:rPr>
            </w:pPr>
          </w:p>
        </w:tc>
        <w:tc>
          <w:tcPr>
            <w:tcW w:w="300" w:type="dxa"/>
            <w:vAlign w:val="bottom"/>
            <w:shd w:val="clear" w:color="auto" w:fill="E0E7ED"/>
          </w:tcPr>
          <w:p>
            <w:pPr>
              <w:spacing w:after="0"/>
              <w:rPr>
                <w:sz w:val="13"/>
                <w:szCs w:val="13"/>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165,446</w:t>
            </w:r>
          </w:p>
        </w:tc>
        <w:tc>
          <w:tcPr>
            <w:tcW w:w="80" w:type="dxa"/>
            <w:vAlign w:val="bottom"/>
            <w:shd w:val="clear" w:color="auto" w:fill="E0E7ED"/>
          </w:tcPr>
          <w:p>
            <w:pPr>
              <w:spacing w:after="0"/>
              <w:rPr>
                <w:sz w:val="13"/>
                <w:szCs w:val="13"/>
                <w:color w:val="auto"/>
              </w:rPr>
            </w:pPr>
          </w:p>
        </w:tc>
        <w:tc>
          <w:tcPr>
            <w:tcW w:w="380" w:type="dxa"/>
            <w:vAlign w:val="bottom"/>
            <w:shd w:val="clear" w:color="auto" w:fill="E0E7ED"/>
          </w:tcPr>
          <w:p>
            <w:pPr>
              <w:spacing w:after="0"/>
              <w:rPr>
                <w:sz w:val="13"/>
                <w:szCs w:val="13"/>
                <w:color w:val="auto"/>
              </w:rPr>
            </w:pP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1,147</w:t>
            </w:r>
          </w:p>
        </w:tc>
        <w:tc>
          <w:tcPr>
            <w:tcW w:w="100" w:type="dxa"/>
            <w:vAlign w:val="bottom"/>
            <w:shd w:val="clear" w:color="auto" w:fill="E0E7ED"/>
          </w:tcPr>
          <w:p>
            <w:pPr>
              <w:spacing w:after="0"/>
              <w:rPr>
                <w:sz w:val="13"/>
                <w:szCs w:val="13"/>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2.79 %</w:t>
            </w:r>
          </w:p>
        </w:tc>
      </w:tr>
      <w:tr>
        <w:trPr>
          <w:trHeight w:val="149"/>
        </w:trPr>
        <w:tc>
          <w:tcPr>
            <w:tcW w:w="3940" w:type="dxa"/>
            <w:vAlign w:val="bottom"/>
          </w:tcPr>
          <w:p>
            <w:pPr>
              <w:ind w:left="280"/>
              <w:spacing w:after="0"/>
              <w:rPr>
                <w:sz w:val="20"/>
                <w:szCs w:val="20"/>
                <w:color w:val="auto"/>
              </w:rPr>
            </w:pPr>
            <w:r>
              <w:rPr>
                <w:rFonts w:ascii="Arial" w:cs="Arial" w:eastAsia="Arial" w:hAnsi="Arial"/>
                <w:sz w:val="11"/>
                <w:szCs w:val="11"/>
                <w:color w:val="auto"/>
              </w:rPr>
              <w:t>Other securities</w:t>
            </w:r>
          </w:p>
        </w:tc>
        <w:tc>
          <w:tcPr>
            <w:tcW w:w="2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2,547,722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17,076</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2.72 %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2,729,293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18,819</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2.77 %</w:t>
            </w:r>
          </w:p>
        </w:tc>
      </w:tr>
      <w:tr>
        <w:trPr>
          <w:trHeight w:val="149"/>
        </w:trPr>
        <w:tc>
          <w:tcPr>
            <w:tcW w:w="3940" w:type="dxa"/>
            <w:vAlign w:val="bottom"/>
            <w:shd w:val="clear" w:color="auto" w:fill="E0E7ED"/>
          </w:tcPr>
          <w:p>
            <w:pPr>
              <w:ind w:left="140"/>
              <w:spacing w:after="0"/>
              <w:rPr>
                <w:sz w:val="20"/>
                <w:szCs w:val="20"/>
                <w:color w:val="auto"/>
              </w:rPr>
            </w:pPr>
            <w:r>
              <w:rPr>
                <w:rFonts w:ascii="Arial" w:cs="Arial" w:eastAsia="Arial" w:hAnsi="Arial"/>
                <w:sz w:val="11"/>
                <w:szCs w:val="11"/>
                <w:color w:val="auto"/>
              </w:rPr>
              <w:t>Restricted bank stock</w:t>
            </w:r>
          </w:p>
        </w:tc>
        <w:tc>
          <w:tcPr>
            <w:tcW w:w="280" w:type="dxa"/>
            <w:vAlign w:val="bottom"/>
            <w:shd w:val="clear" w:color="auto" w:fill="E0E7ED"/>
          </w:tcPr>
          <w:p>
            <w:pPr>
              <w:spacing w:after="0"/>
              <w:rPr>
                <w:sz w:val="12"/>
                <w:szCs w:val="12"/>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51,146</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759</w:t>
            </w:r>
          </w:p>
        </w:tc>
        <w:tc>
          <w:tcPr>
            <w:tcW w:w="80" w:type="dxa"/>
            <w:vAlign w:val="bottom"/>
            <w:shd w:val="clear" w:color="auto" w:fill="E0E7ED"/>
          </w:tcPr>
          <w:p>
            <w:pPr>
              <w:spacing w:after="0"/>
              <w:rPr>
                <w:sz w:val="12"/>
                <w:szCs w:val="12"/>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6.02 %</w:t>
            </w: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6,000</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87</w:t>
            </w:r>
          </w:p>
        </w:tc>
        <w:tc>
          <w:tcPr>
            <w:tcW w:w="100" w:type="dxa"/>
            <w:vAlign w:val="bottom"/>
            <w:shd w:val="clear" w:color="auto" w:fill="E0E7ED"/>
          </w:tcPr>
          <w:p>
            <w:pPr>
              <w:spacing w:after="0"/>
              <w:rPr>
                <w:sz w:val="12"/>
                <w:szCs w:val="12"/>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5.83 %</w:t>
            </w:r>
          </w:p>
        </w:tc>
      </w:tr>
      <w:tr>
        <w:trPr>
          <w:trHeight w:val="149"/>
        </w:trPr>
        <w:tc>
          <w:tcPr>
            <w:tcW w:w="3940" w:type="dxa"/>
            <w:vAlign w:val="bottom"/>
          </w:tcPr>
          <w:p>
            <w:pPr>
              <w:ind w:left="140"/>
              <w:spacing w:after="0"/>
              <w:rPr>
                <w:sz w:val="20"/>
                <w:szCs w:val="20"/>
                <w:color w:val="auto"/>
              </w:rPr>
            </w:pPr>
            <w:r>
              <w:rPr>
                <w:rFonts w:ascii="Arial" w:cs="Arial" w:eastAsia="Arial" w:hAnsi="Arial"/>
                <w:sz w:val="11"/>
                <w:szCs w:val="11"/>
                <w:color w:val="auto"/>
              </w:rPr>
              <w:t>Loans held for sale</w:t>
            </w:r>
          </w:p>
        </w:tc>
        <w:tc>
          <w:tcPr>
            <w:tcW w:w="2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3,443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6.48 %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4,833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5.98 %</w:t>
            </w:r>
          </w:p>
        </w:tc>
      </w:tr>
      <w:tr>
        <w:trPr>
          <w:trHeight w:val="159"/>
        </w:trPr>
        <w:tc>
          <w:tcPr>
            <w:tcW w:w="3940" w:type="dxa"/>
            <w:vAlign w:val="bottom"/>
            <w:shd w:val="clear" w:color="auto" w:fill="E0E7ED"/>
          </w:tcPr>
          <w:p>
            <w:pPr>
              <w:ind w:left="140"/>
              <w:spacing w:after="0" w:line="159" w:lineRule="exact"/>
              <w:rPr>
                <w:sz w:val="20"/>
                <w:szCs w:val="20"/>
                <w:color w:val="auto"/>
              </w:rPr>
            </w:pPr>
            <w:r>
              <w:rPr>
                <w:rFonts w:ascii="Arial" w:cs="Arial" w:eastAsia="Arial" w:hAnsi="Arial"/>
                <w:sz w:val="11"/>
                <w:szCs w:val="11"/>
                <w:color w:val="auto"/>
              </w:rPr>
              <w:t>Portfolio loans</w:t>
            </w:r>
            <w:r>
              <w:rPr>
                <w:rFonts w:ascii="Arial" w:cs="Arial" w:eastAsia="Arial" w:hAnsi="Arial"/>
                <w:sz w:val="14"/>
                <w:szCs w:val="14"/>
                <w:color w:val="auto"/>
                <w:vertAlign w:val="superscript"/>
              </w:rPr>
              <w:t>1, 2</w:t>
            </w:r>
          </w:p>
        </w:tc>
        <w:tc>
          <w:tcPr>
            <w:tcW w:w="280" w:type="dxa"/>
            <w:vAlign w:val="bottom"/>
            <w:tcBorders>
              <w:bottom w:val="single" w:sz="8" w:color="auto"/>
            </w:tcBorders>
            <w:shd w:val="clear" w:color="auto" w:fill="E0E7ED"/>
          </w:tcPr>
          <w:p>
            <w:pPr>
              <w:spacing w:after="0"/>
              <w:rPr>
                <w:sz w:val="13"/>
                <w:szCs w:val="13"/>
                <w:color w:val="auto"/>
              </w:rPr>
            </w:pPr>
          </w:p>
        </w:tc>
        <w:tc>
          <w:tcPr>
            <w:tcW w:w="84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9,838,337</w:t>
            </w:r>
          </w:p>
        </w:tc>
        <w:tc>
          <w:tcPr>
            <w:tcW w:w="80" w:type="dxa"/>
            <w:vAlign w:val="bottom"/>
            <w:shd w:val="clear" w:color="auto" w:fill="E0E7ED"/>
          </w:tcPr>
          <w:p>
            <w:pPr>
              <w:spacing w:after="0"/>
              <w:rPr>
                <w:sz w:val="13"/>
                <w:szCs w:val="13"/>
                <w:color w:val="auto"/>
              </w:rPr>
            </w:pPr>
          </w:p>
        </w:tc>
        <w:tc>
          <w:tcPr>
            <w:tcW w:w="380" w:type="dxa"/>
            <w:vAlign w:val="bottom"/>
            <w:tcBorders>
              <w:bottom w:val="single" w:sz="8" w:color="auto"/>
            </w:tcBorders>
            <w:shd w:val="clear" w:color="auto" w:fill="E0E7ED"/>
          </w:tcPr>
          <w:p>
            <w:pPr>
              <w:spacing w:after="0"/>
              <w:rPr>
                <w:sz w:val="13"/>
                <w:szCs w:val="13"/>
                <w:color w:val="auto"/>
              </w:rPr>
            </w:pPr>
          </w:p>
        </w:tc>
        <w:tc>
          <w:tcPr>
            <w:tcW w:w="7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139,844</w:t>
            </w:r>
          </w:p>
        </w:tc>
        <w:tc>
          <w:tcPr>
            <w:tcW w:w="80" w:type="dxa"/>
            <w:vAlign w:val="bottom"/>
            <w:shd w:val="clear" w:color="auto" w:fill="E0E7ED"/>
          </w:tcPr>
          <w:p>
            <w:pPr>
              <w:spacing w:after="0"/>
              <w:rPr>
                <w:sz w:val="13"/>
                <w:szCs w:val="1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5.76 %</w:t>
            </w:r>
          </w:p>
        </w:tc>
        <w:tc>
          <w:tcPr>
            <w:tcW w:w="80" w:type="dxa"/>
            <w:vAlign w:val="bottom"/>
            <w:shd w:val="clear" w:color="auto" w:fill="E0E7ED"/>
          </w:tcPr>
          <w:p>
            <w:pPr>
              <w:spacing w:after="0"/>
              <w:rPr>
                <w:sz w:val="13"/>
                <w:szCs w:val="13"/>
                <w:color w:val="auto"/>
              </w:rPr>
            </w:pPr>
          </w:p>
        </w:tc>
        <w:tc>
          <w:tcPr>
            <w:tcW w:w="300" w:type="dxa"/>
            <w:vAlign w:val="bottom"/>
            <w:tcBorders>
              <w:bottom w:val="single" w:sz="8" w:color="auto"/>
            </w:tcBorders>
            <w:shd w:val="clear" w:color="auto" w:fill="E0E7ED"/>
          </w:tcPr>
          <w:p>
            <w:pPr>
              <w:spacing w:after="0"/>
              <w:rPr>
                <w:sz w:val="13"/>
                <w:szCs w:val="13"/>
                <w:color w:val="auto"/>
              </w:rPr>
            </w:pPr>
          </w:p>
        </w:tc>
        <w:tc>
          <w:tcPr>
            <w:tcW w:w="84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7,599,316</w:t>
            </w:r>
          </w:p>
        </w:tc>
        <w:tc>
          <w:tcPr>
            <w:tcW w:w="80" w:type="dxa"/>
            <w:vAlign w:val="bottom"/>
            <w:shd w:val="clear" w:color="auto" w:fill="E0E7ED"/>
          </w:tcPr>
          <w:p>
            <w:pPr>
              <w:spacing w:after="0"/>
              <w:rPr>
                <w:sz w:val="13"/>
                <w:szCs w:val="13"/>
                <w:color w:val="auto"/>
              </w:rPr>
            </w:pPr>
          </w:p>
        </w:tc>
        <w:tc>
          <w:tcPr>
            <w:tcW w:w="380" w:type="dxa"/>
            <w:vAlign w:val="bottom"/>
            <w:tcBorders>
              <w:bottom w:val="single" w:sz="8" w:color="auto"/>
            </w:tcBorders>
            <w:shd w:val="clear" w:color="auto" w:fill="E0E7ED"/>
          </w:tcPr>
          <w:p>
            <w:pPr>
              <w:spacing w:after="0"/>
              <w:rPr>
                <w:sz w:val="13"/>
                <w:szCs w:val="13"/>
                <w:color w:val="auto"/>
              </w:rPr>
            </w:pPr>
          </w:p>
        </w:tc>
        <w:tc>
          <w:tcPr>
            <w:tcW w:w="7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99,611</w:t>
            </w:r>
          </w:p>
        </w:tc>
        <w:tc>
          <w:tcPr>
            <w:tcW w:w="100" w:type="dxa"/>
            <w:vAlign w:val="bottom"/>
            <w:shd w:val="clear" w:color="auto" w:fill="E0E7ED"/>
          </w:tcPr>
          <w:p>
            <w:pPr>
              <w:spacing w:after="0"/>
              <w:rPr>
                <w:sz w:val="13"/>
                <w:szCs w:val="1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5.27 %</w:t>
            </w:r>
          </w:p>
        </w:tc>
      </w:tr>
      <w:tr>
        <w:trPr>
          <w:trHeight w:val="139"/>
        </w:trPr>
        <w:tc>
          <w:tcPr>
            <w:tcW w:w="3940" w:type="dxa"/>
            <w:vAlign w:val="bottom"/>
          </w:tcPr>
          <w:p>
            <w:pPr>
              <w:ind w:left="140"/>
              <w:spacing w:after="0" w:line="139" w:lineRule="exact"/>
              <w:rPr>
                <w:sz w:val="20"/>
                <w:szCs w:val="20"/>
                <w:color w:val="auto"/>
              </w:rPr>
            </w:pPr>
            <w:r>
              <w:rPr>
                <w:rFonts w:ascii="Arial" w:cs="Arial" w:eastAsia="Arial" w:hAnsi="Arial"/>
                <w:sz w:val="11"/>
                <w:szCs w:val="11"/>
                <w:color w:val="auto"/>
              </w:rPr>
              <w:t>Total interest-earning assets</w:t>
            </w:r>
            <w:r>
              <w:rPr>
                <w:rFonts w:ascii="Arial" w:cs="Arial" w:eastAsia="Arial" w:hAnsi="Arial"/>
                <w:sz w:val="14"/>
                <w:szCs w:val="14"/>
                <w:color w:val="auto"/>
                <w:vertAlign w:val="superscript"/>
              </w:rPr>
              <w:t>1, 3</w:t>
            </w:r>
          </w:p>
        </w:tc>
        <w:tc>
          <w:tcPr>
            <w:tcW w:w="2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13,363,594</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167,352</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5.08 %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11,005,903</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126,269</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4.61 %</w:t>
            </w:r>
          </w:p>
        </w:tc>
      </w:tr>
      <w:tr>
        <w:trPr>
          <w:trHeight w:val="20"/>
        </w:trPr>
        <w:tc>
          <w:tcPr>
            <w:tcW w:w="394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E0E7ED"/>
            </w:tcBorders>
          </w:tcPr>
          <w:p>
            <w:pPr>
              <w:spacing w:after="0" w:line="20" w:lineRule="exact"/>
              <w:rPr>
                <w:sz w:val="1"/>
                <w:szCs w:val="1"/>
                <w:color w:val="auto"/>
              </w:rPr>
            </w:pPr>
          </w:p>
        </w:tc>
        <w:tc>
          <w:tcPr>
            <w:tcW w:w="8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E0E7ED"/>
            </w:tcBorders>
          </w:tcPr>
          <w:p>
            <w:pPr>
              <w:spacing w:after="0" w:line="20" w:lineRule="exact"/>
              <w:rPr>
                <w:sz w:val="1"/>
                <w:szCs w:val="1"/>
                <w:color w:val="auto"/>
              </w:rPr>
            </w:pPr>
          </w:p>
        </w:tc>
        <w:tc>
          <w:tcPr>
            <w:tcW w:w="8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r>
      <w:tr>
        <w:trPr>
          <w:trHeight w:val="131"/>
        </w:trPr>
        <w:tc>
          <w:tcPr>
            <w:tcW w:w="3940" w:type="dxa"/>
            <w:vAlign w:val="bottom"/>
            <w:shd w:val="clear" w:color="auto" w:fill="E0E7ED"/>
          </w:tcPr>
          <w:p>
            <w:pPr>
              <w:spacing w:after="0"/>
              <w:rPr>
                <w:sz w:val="11"/>
                <w:szCs w:val="11"/>
                <w:color w:val="auto"/>
              </w:rPr>
            </w:pPr>
          </w:p>
        </w:tc>
        <w:tc>
          <w:tcPr>
            <w:tcW w:w="280" w:type="dxa"/>
            <w:vAlign w:val="bottom"/>
            <w:shd w:val="clear" w:color="auto" w:fill="E0E7ED"/>
          </w:tcPr>
          <w:p>
            <w:pPr>
              <w:spacing w:after="0"/>
              <w:rPr>
                <w:sz w:val="11"/>
                <w:szCs w:val="11"/>
                <w:color w:val="auto"/>
              </w:rPr>
            </w:pPr>
          </w:p>
        </w:tc>
        <w:tc>
          <w:tcPr>
            <w:tcW w:w="8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80" w:type="dxa"/>
            <w:vAlign w:val="bottom"/>
            <w:shd w:val="clear" w:color="auto" w:fill="E0E7ED"/>
          </w:tcPr>
          <w:p>
            <w:pPr>
              <w:spacing w:after="0"/>
              <w:rPr>
                <w:sz w:val="11"/>
                <w:szCs w:val="11"/>
                <w:color w:val="auto"/>
              </w:rPr>
            </w:pPr>
          </w:p>
        </w:tc>
        <w:tc>
          <w:tcPr>
            <w:tcW w:w="7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22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00" w:type="dxa"/>
            <w:vAlign w:val="bottom"/>
            <w:shd w:val="clear" w:color="auto" w:fill="E0E7ED"/>
          </w:tcPr>
          <w:p>
            <w:pPr>
              <w:spacing w:after="0"/>
              <w:rPr>
                <w:sz w:val="11"/>
                <w:szCs w:val="11"/>
                <w:color w:val="auto"/>
              </w:rPr>
            </w:pPr>
          </w:p>
        </w:tc>
        <w:tc>
          <w:tcPr>
            <w:tcW w:w="8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80" w:type="dxa"/>
            <w:vAlign w:val="bottom"/>
            <w:shd w:val="clear" w:color="auto" w:fill="E0E7ED"/>
          </w:tcPr>
          <w:p>
            <w:pPr>
              <w:spacing w:after="0"/>
              <w:rPr>
                <w:sz w:val="11"/>
                <w:szCs w:val="11"/>
                <w:color w:val="auto"/>
              </w:rPr>
            </w:pPr>
          </w:p>
        </w:tc>
        <w:tc>
          <w:tcPr>
            <w:tcW w:w="7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200" w:type="dxa"/>
            <w:vAlign w:val="bottom"/>
            <w:shd w:val="clear" w:color="auto" w:fill="E0E7ED"/>
          </w:tcPr>
          <w:p>
            <w:pPr>
              <w:spacing w:after="0"/>
              <w:rPr>
                <w:sz w:val="11"/>
                <w:szCs w:val="11"/>
                <w:color w:val="auto"/>
              </w:rPr>
            </w:pPr>
          </w:p>
        </w:tc>
      </w:tr>
      <w:tr>
        <w:trPr>
          <w:trHeight w:val="149"/>
        </w:trPr>
        <w:tc>
          <w:tcPr>
            <w:tcW w:w="3940" w:type="dxa"/>
            <w:vAlign w:val="bottom"/>
          </w:tcPr>
          <w:p>
            <w:pPr>
              <w:ind w:left="140"/>
              <w:spacing w:after="0"/>
              <w:rPr>
                <w:sz w:val="20"/>
                <w:szCs w:val="20"/>
                <w:color w:val="auto"/>
              </w:rPr>
            </w:pPr>
            <w:r>
              <w:rPr>
                <w:rFonts w:ascii="Arial" w:cs="Arial" w:eastAsia="Arial" w:hAnsi="Arial"/>
                <w:sz w:val="11"/>
                <w:szCs w:val="11"/>
                <w:color w:val="auto"/>
              </w:rPr>
              <w:t>Cash and due from banks</w:t>
            </w:r>
          </w:p>
        </w:tc>
        <w:tc>
          <w:tcPr>
            <w:tcW w:w="2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172,788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105,583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3940" w:type="dxa"/>
            <w:vAlign w:val="bottom"/>
            <w:shd w:val="clear" w:color="auto" w:fill="E0E7ED"/>
          </w:tcPr>
          <w:p>
            <w:pPr>
              <w:ind w:left="140"/>
              <w:spacing w:after="0"/>
              <w:rPr>
                <w:sz w:val="20"/>
                <w:szCs w:val="20"/>
                <w:color w:val="auto"/>
              </w:rPr>
            </w:pPr>
            <w:r>
              <w:rPr>
                <w:rFonts w:ascii="Arial" w:cs="Arial" w:eastAsia="Arial" w:hAnsi="Arial"/>
                <w:sz w:val="11"/>
                <w:szCs w:val="11"/>
                <w:color w:val="auto"/>
              </w:rPr>
              <w:t>Premises and equipment</w:t>
            </w:r>
          </w:p>
        </w:tc>
        <w:tc>
          <w:tcPr>
            <w:tcW w:w="280" w:type="dxa"/>
            <w:vAlign w:val="bottom"/>
            <w:shd w:val="clear" w:color="auto" w:fill="E0E7ED"/>
          </w:tcPr>
          <w:p>
            <w:pPr>
              <w:spacing w:after="0"/>
              <w:rPr>
                <w:sz w:val="12"/>
                <w:szCs w:val="12"/>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140,490</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122,291</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200" w:type="dxa"/>
            <w:vAlign w:val="bottom"/>
            <w:shd w:val="clear" w:color="auto" w:fill="E0E7ED"/>
          </w:tcPr>
          <w:p>
            <w:pPr>
              <w:spacing w:after="0"/>
              <w:rPr>
                <w:sz w:val="12"/>
                <w:szCs w:val="12"/>
                <w:color w:val="auto"/>
              </w:rPr>
            </w:pPr>
          </w:p>
        </w:tc>
      </w:tr>
      <w:tr>
        <w:trPr>
          <w:trHeight w:val="149"/>
        </w:trPr>
        <w:tc>
          <w:tcPr>
            <w:tcW w:w="3940" w:type="dxa"/>
            <w:vAlign w:val="bottom"/>
          </w:tcPr>
          <w:p>
            <w:pPr>
              <w:ind w:left="140"/>
              <w:spacing w:after="0"/>
              <w:rPr>
                <w:sz w:val="20"/>
                <w:szCs w:val="20"/>
                <w:color w:val="auto"/>
              </w:rPr>
            </w:pPr>
            <w:r>
              <w:rPr>
                <w:rFonts w:ascii="Arial" w:cs="Arial" w:eastAsia="Arial" w:hAnsi="Arial"/>
                <w:sz w:val="11"/>
                <w:szCs w:val="11"/>
                <w:color w:val="auto"/>
              </w:rPr>
              <w:t>ACL</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(131,800)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(92,137)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3940" w:type="dxa"/>
            <w:vAlign w:val="bottom"/>
            <w:shd w:val="clear" w:color="auto" w:fill="E0E7ED"/>
          </w:tcPr>
          <w:p>
            <w:pPr>
              <w:ind w:left="140"/>
              <w:spacing w:after="0"/>
              <w:rPr>
                <w:sz w:val="20"/>
                <w:szCs w:val="20"/>
                <w:color w:val="auto"/>
              </w:rPr>
            </w:pPr>
            <w:r>
              <w:rPr>
                <w:rFonts w:ascii="Arial" w:cs="Arial" w:eastAsia="Arial" w:hAnsi="Arial"/>
                <w:sz w:val="11"/>
                <w:szCs w:val="11"/>
                <w:color w:val="auto"/>
              </w:rPr>
              <w:t>Other assets</w:t>
            </w:r>
          </w:p>
        </w:tc>
        <w:tc>
          <w:tcPr>
            <w:tcW w:w="280" w:type="dxa"/>
            <w:vAlign w:val="bottom"/>
            <w:tcBorders>
              <w:bottom w:val="single" w:sz="8" w:color="auto"/>
            </w:tcBorders>
            <w:shd w:val="clear" w:color="auto" w:fill="E0E7ED"/>
          </w:tcPr>
          <w:p>
            <w:pPr>
              <w:spacing w:after="0"/>
              <w:rPr>
                <w:sz w:val="12"/>
                <w:szCs w:val="12"/>
                <w:color w:val="auto"/>
              </w:rPr>
            </w:pPr>
          </w:p>
        </w:tc>
        <w:tc>
          <w:tcPr>
            <w:tcW w:w="84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1,286,226</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tcBorders>
              <w:bottom w:val="single" w:sz="8" w:color="auto"/>
            </w:tcBorders>
            <w:shd w:val="clear" w:color="auto" w:fill="E0E7ED"/>
          </w:tcPr>
          <w:p>
            <w:pPr>
              <w:spacing w:after="0"/>
              <w:rPr>
                <w:sz w:val="12"/>
                <w:szCs w:val="12"/>
                <w:color w:val="auto"/>
              </w:rPr>
            </w:pPr>
          </w:p>
        </w:tc>
        <w:tc>
          <w:tcPr>
            <w:tcW w:w="84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882,568</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200" w:type="dxa"/>
            <w:vAlign w:val="bottom"/>
            <w:shd w:val="clear" w:color="auto" w:fill="E0E7ED"/>
          </w:tcPr>
          <w:p>
            <w:pPr>
              <w:spacing w:after="0"/>
              <w:rPr>
                <w:sz w:val="12"/>
                <w:szCs w:val="12"/>
                <w:color w:val="auto"/>
              </w:rPr>
            </w:pPr>
          </w:p>
        </w:tc>
      </w:tr>
      <w:tr>
        <w:trPr>
          <w:trHeight w:val="139"/>
        </w:trPr>
        <w:tc>
          <w:tcPr>
            <w:tcW w:w="394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14,831,298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12,024,208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
        </w:trPr>
        <w:tc>
          <w:tcPr>
            <w:tcW w:w="3940" w:type="dxa"/>
            <w:vAlign w:val="bottom"/>
            <w:tcBorders>
              <w:bottom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E0E7ED"/>
            </w:tcBorders>
          </w:tcPr>
          <w:p>
            <w:pPr>
              <w:spacing w:after="0" w:line="20" w:lineRule="exact"/>
              <w:rPr>
                <w:sz w:val="1"/>
                <w:szCs w:val="1"/>
                <w:color w:val="auto"/>
              </w:rPr>
            </w:pPr>
          </w:p>
        </w:tc>
        <w:tc>
          <w:tcPr>
            <w:tcW w:w="7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E0E7ED"/>
            </w:tcBorders>
          </w:tcPr>
          <w:p>
            <w:pPr>
              <w:spacing w:after="0" w:line="20" w:lineRule="exact"/>
              <w:rPr>
                <w:sz w:val="1"/>
                <w:szCs w:val="1"/>
                <w:color w:val="auto"/>
              </w:rPr>
            </w:pPr>
          </w:p>
        </w:tc>
        <w:tc>
          <w:tcPr>
            <w:tcW w:w="7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r>
      <w:tr>
        <w:trPr>
          <w:trHeight w:val="131"/>
        </w:trPr>
        <w:tc>
          <w:tcPr>
            <w:tcW w:w="3940" w:type="dxa"/>
            <w:vAlign w:val="bottom"/>
            <w:shd w:val="clear" w:color="auto" w:fill="E0E7ED"/>
          </w:tcPr>
          <w:p>
            <w:pPr>
              <w:spacing w:after="0"/>
              <w:rPr>
                <w:sz w:val="11"/>
                <w:szCs w:val="11"/>
                <w:color w:val="auto"/>
              </w:rPr>
            </w:pPr>
          </w:p>
        </w:tc>
        <w:tc>
          <w:tcPr>
            <w:tcW w:w="280" w:type="dxa"/>
            <w:vAlign w:val="bottom"/>
            <w:shd w:val="clear" w:color="auto" w:fill="E0E7ED"/>
          </w:tcPr>
          <w:p>
            <w:pPr>
              <w:spacing w:after="0"/>
              <w:rPr>
                <w:sz w:val="11"/>
                <w:szCs w:val="11"/>
                <w:color w:val="auto"/>
              </w:rPr>
            </w:pPr>
          </w:p>
        </w:tc>
        <w:tc>
          <w:tcPr>
            <w:tcW w:w="8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80" w:type="dxa"/>
            <w:vAlign w:val="bottom"/>
            <w:shd w:val="clear" w:color="auto" w:fill="E0E7ED"/>
          </w:tcPr>
          <w:p>
            <w:pPr>
              <w:spacing w:after="0"/>
              <w:rPr>
                <w:sz w:val="11"/>
                <w:szCs w:val="11"/>
                <w:color w:val="auto"/>
              </w:rPr>
            </w:pPr>
          </w:p>
        </w:tc>
        <w:tc>
          <w:tcPr>
            <w:tcW w:w="7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22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00" w:type="dxa"/>
            <w:vAlign w:val="bottom"/>
            <w:shd w:val="clear" w:color="auto" w:fill="E0E7ED"/>
          </w:tcPr>
          <w:p>
            <w:pPr>
              <w:spacing w:after="0"/>
              <w:rPr>
                <w:sz w:val="11"/>
                <w:szCs w:val="11"/>
                <w:color w:val="auto"/>
              </w:rPr>
            </w:pPr>
          </w:p>
        </w:tc>
        <w:tc>
          <w:tcPr>
            <w:tcW w:w="8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80" w:type="dxa"/>
            <w:vAlign w:val="bottom"/>
            <w:shd w:val="clear" w:color="auto" w:fill="E0E7ED"/>
          </w:tcPr>
          <w:p>
            <w:pPr>
              <w:spacing w:after="0"/>
              <w:rPr>
                <w:sz w:val="11"/>
                <w:szCs w:val="11"/>
                <w:color w:val="auto"/>
              </w:rPr>
            </w:pPr>
          </w:p>
        </w:tc>
        <w:tc>
          <w:tcPr>
            <w:tcW w:w="7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200" w:type="dxa"/>
            <w:vAlign w:val="bottom"/>
            <w:shd w:val="clear" w:color="auto" w:fill="E0E7ED"/>
          </w:tcPr>
          <w:p>
            <w:pPr>
              <w:spacing w:after="0"/>
              <w:rPr>
                <w:sz w:val="11"/>
                <w:szCs w:val="11"/>
                <w:color w:val="auto"/>
              </w:rPr>
            </w:pPr>
          </w:p>
        </w:tc>
      </w:tr>
      <w:tr>
        <w:trPr>
          <w:trHeight w:val="149"/>
        </w:trPr>
        <w:tc>
          <w:tcPr>
            <w:tcW w:w="3940" w:type="dxa"/>
            <w:vAlign w:val="bottom"/>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3940" w:type="dxa"/>
            <w:vAlign w:val="bottom"/>
            <w:shd w:val="clear" w:color="auto" w:fill="E0E7ED"/>
          </w:tcPr>
          <w:p>
            <w:pPr>
              <w:ind w:left="140"/>
              <w:spacing w:after="0"/>
              <w:rPr>
                <w:sz w:val="20"/>
                <w:szCs w:val="20"/>
                <w:color w:val="auto"/>
              </w:rPr>
            </w:pPr>
            <w:r>
              <w:rPr>
                <w:rFonts w:ascii="Arial" w:cs="Arial" w:eastAsia="Arial" w:hAnsi="Arial"/>
                <w:sz w:val="11"/>
                <w:szCs w:val="11"/>
                <w:color w:val="auto"/>
              </w:rPr>
              <w:t>Interest-bearing transaction deposits</w:t>
            </w:r>
          </w:p>
        </w:tc>
        <w:tc>
          <w:tcPr>
            <w:tcW w:w="280" w:type="dxa"/>
            <w:vAlign w:val="bottom"/>
            <w:shd w:val="clear" w:color="auto" w:fill="E0E7ED"/>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2,646,916</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10,928</w:t>
            </w:r>
          </w:p>
        </w:tc>
        <w:tc>
          <w:tcPr>
            <w:tcW w:w="80" w:type="dxa"/>
            <w:vAlign w:val="bottom"/>
            <w:shd w:val="clear" w:color="auto" w:fill="E0E7ED"/>
          </w:tcPr>
          <w:p>
            <w:pPr>
              <w:spacing w:after="0"/>
              <w:rPr>
                <w:sz w:val="12"/>
                <w:szCs w:val="12"/>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1.67 %</w:t>
            </w:r>
          </w:p>
        </w:tc>
        <w:tc>
          <w:tcPr>
            <w:tcW w:w="380" w:type="dxa"/>
            <w:vAlign w:val="bottom"/>
            <w:gridSpan w:val="2"/>
            <w:shd w:val="clear" w:color="auto" w:fill="E0E7ED"/>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2,524,757</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10,811</w:t>
            </w:r>
          </w:p>
        </w:tc>
        <w:tc>
          <w:tcPr>
            <w:tcW w:w="100" w:type="dxa"/>
            <w:vAlign w:val="bottom"/>
            <w:shd w:val="clear" w:color="auto" w:fill="E0E7ED"/>
          </w:tcPr>
          <w:p>
            <w:pPr>
              <w:spacing w:after="0"/>
              <w:rPr>
                <w:sz w:val="12"/>
                <w:szCs w:val="12"/>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1.72 %</w:t>
            </w:r>
          </w:p>
        </w:tc>
      </w:tr>
      <w:tr>
        <w:trPr>
          <w:trHeight w:val="149"/>
        </w:trPr>
        <w:tc>
          <w:tcPr>
            <w:tcW w:w="3940" w:type="dxa"/>
            <w:vAlign w:val="bottom"/>
          </w:tcPr>
          <w:p>
            <w:pPr>
              <w:ind w:left="140"/>
              <w:spacing w:after="0"/>
              <w:rPr>
                <w:sz w:val="20"/>
                <w:szCs w:val="20"/>
                <w:color w:val="auto"/>
              </w:rPr>
            </w:pPr>
            <w:r>
              <w:rPr>
                <w:rFonts w:ascii="Arial" w:cs="Arial" w:eastAsia="Arial" w:hAnsi="Arial"/>
                <w:sz w:val="11"/>
                <w:szCs w:val="11"/>
                <w:color w:val="auto"/>
              </w:rPr>
              <w:t>Savings and money market deposits</w:t>
            </w:r>
          </w:p>
        </w:tc>
        <w:tc>
          <w:tcPr>
            <w:tcW w:w="2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4,443,528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27,592</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2.52 %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3,076,203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16,388</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2.14 %</w:t>
            </w:r>
          </w:p>
        </w:tc>
      </w:tr>
      <w:tr>
        <w:trPr>
          <w:trHeight w:val="149"/>
        </w:trPr>
        <w:tc>
          <w:tcPr>
            <w:tcW w:w="3940" w:type="dxa"/>
            <w:vAlign w:val="bottom"/>
            <w:shd w:val="clear" w:color="auto" w:fill="E0E7ED"/>
          </w:tcPr>
          <w:p>
            <w:pPr>
              <w:ind w:left="140"/>
              <w:spacing w:after="0"/>
              <w:rPr>
                <w:sz w:val="20"/>
                <w:szCs w:val="20"/>
                <w:color w:val="auto"/>
              </w:rPr>
            </w:pPr>
            <w:r>
              <w:rPr>
                <w:rFonts w:ascii="Arial" w:cs="Arial" w:eastAsia="Arial" w:hAnsi="Arial"/>
                <w:sz w:val="11"/>
                <w:szCs w:val="11"/>
                <w:color w:val="auto"/>
              </w:rPr>
              <w:t>Time deposits</w:t>
            </w:r>
          </w:p>
        </w:tc>
        <w:tc>
          <w:tcPr>
            <w:tcW w:w="280" w:type="dxa"/>
            <w:vAlign w:val="bottom"/>
            <w:shd w:val="clear" w:color="auto" w:fill="E0E7ED"/>
          </w:tcPr>
          <w:p>
            <w:pPr>
              <w:spacing w:after="0"/>
              <w:rPr>
                <w:sz w:val="12"/>
                <w:szCs w:val="12"/>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2,052,337</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18,792</w:t>
            </w:r>
          </w:p>
        </w:tc>
        <w:tc>
          <w:tcPr>
            <w:tcW w:w="80" w:type="dxa"/>
            <w:vAlign w:val="bottom"/>
            <w:shd w:val="clear" w:color="auto" w:fill="E0E7ED"/>
          </w:tcPr>
          <w:p>
            <w:pPr>
              <w:spacing w:after="0"/>
              <w:rPr>
                <w:sz w:val="12"/>
                <w:szCs w:val="12"/>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3.71 %</w:t>
            </w: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1,729,145</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16,769</w:t>
            </w:r>
          </w:p>
        </w:tc>
        <w:tc>
          <w:tcPr>
            <w:tcW w:w="100" w:type="dxa"/>
            <w:vAlign w:val="bottom"/>
            <w:shd w:val="clear" w:color="auto" w:fill="E0E7ED"/>
          </w:tcPr>
          <w:p>
            <w:pPr>
              <w:spacing w:after="0"/>
              <w:rPr>
                <w:sz w:val="12"/>
                <w:szCs w:val="12"/>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3.90 %</w:t>
            </w:r>
          </w:p>
        </w:tc>
      </w:tr>
      <w:tr>
        <w:trPr>
          <w:trHeight w:val="149"/>
        </w:trPr>
        <w:tc>
          <w:tcPr>
            <w:tcW w:w="3940" w:type="dxa"/>
            <w:vAlign w:val="bottom"/>
          </w:tcPr>
          <w:p>
            <w:pPr>
              <w:ind w:left="140"/>
              <w:spacing w:after="0"/>
              <w:rPr>
                <w:sz w:val="20"/>
                <w:szCs w:val="20"/>
                <w:color w:val="auto"/>
              </w:rPr>
            </w:pPr>
            <w:r>
              <w:rPr>
                <w:rFonts w:ascii="Arial" w:cs="Arial" w:eastAsia="Arial" w:hAnsi="Arial"/>
                <w:sz w:val="11"/>
                <w:szCs w:val="11"/>
                <w:color w:val="auto"/>
              </w:rPr>
              <w:t>Federal funds purchased and repurchase agreements</w:t>
            </w:r>
          </w:p>
        </w:tc>
        <w:tc>
          <w:tcPr>
            <w:tcW w:w="2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144,838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876</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2.45 %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178,659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1,372</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3.09 %</w:t>
            </w:r>
          </w:p>
        </w:tc>
      </w:tr>
      <w:tr>
        <w:trPr>
          <w:trHeight w:val="159"/>
        </w:trPr>
        <w:tc>
          <w:tcPr>
            <w:tcW w:w="3940" w:type="dxa"/>
            <w:vAlign w:val="bottom"/>
            <w:shd w:val="clear" w:color="auto" w:fill="E0E7ED"/>
          </w:tcPr>
          <w:p>
            <w:pPr>
              <w:ind w:left="140"/>
              <w:spacing w:after="0" w:line="159" w:lineRule="exact"/>
              <w:rPr>
                <w:sz w:val="20"/>
                <w:szCs w:val="20"/>
                <w:color w:val="auto"/>
              </w:rPr>
            </w:pPr>
            <w:r>
              <w:rPr>
                <w:rFonts w:ascii="Arial" w:cs="Arial" w:eastAsia="Arial" w:hAnsi="Arial"/>
                <w:sz w:val="11"/>
                <w:szCs w:val="11"/>
                <w:color w:val="auto"/>
              </w:rPr>
              <w:t>Borrowings</w:t>
            </w:r>
            <w:r>
              <w:rPr>
                <w:rFonts w:ascii="Arial" w:cs="Arial" w:eastAsia="Arial" w:hAnsi="Arial"/>
                <w:sz w:val="14"/>
                <w:szCs w:val="14"/>
                <w:color w:val="auto"/>
                <w:vertAlign w:val="superscript"/>
              </w:rPr>
              <w:t>4</w:t>
            </w:r>
          </w:p>
        </w:tc>
        <w:tc>
          <w:tcPr>
            <w:tcW w:w="280" w:type="dxa"/>
            <w:vAlign w:val="bottom"/>
            <w:shd w:val="clear" w:color="auto" w:fill="E0E7ED"/>
          </w:tcPr>
          <w:p>
            <w:pPr>
              <w:spacing w:after="0"/>
              <w:rPr>
                <w:sz w:val="13"/>
                <w:szCs w:val="13"/>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264,615</w:t>
            </w:r>
          </w:p>
        </w:tc>
        <w:tc>
          <w:tcPr>
            <w:tcW w:w="80" w:type="dxa"/>
            <w:vAlign w:val="bottom"/>
            <w:shd w:val="clear" w:color="auto" w:fill="E0E7ED"/>
          </w:tcPr>
          <w:p>
            <w:pPr>
              <w:spacing w:after="0"/>
              <w:rPr>
                <w:sz w:val="13"/>
                <w:szCs w:val="13"/>
                <w:color w:val="auto"/>
              </w:rPr>
            </w:pPr>
          </w:p>
        </w:tc>
        <w:tc>
          <w:tcPr>
            <w:tcW w:w="380" w:type="dxa"/>
            <w:vAlign w:val="bottom"/>
            <w:shd w:val="clear" w:color="auto" w:fill="E0E7ED"/>
          </w:tcPr>
          <w:p>
            <w:pPr>
              <w:spacing w:after="0"/>
              <w:rPr>
                <w:sz w:val="13"/>
                <w:szCs w:val="13"/>
                <w:color w:val="auto"/>
              </w:rPr>
            </w:pP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3,541</w:t>
            </w:r>
          </w:p>
        </w:tc>
        <w:tc>
          <w:tcPr>
            <w:tcW w:w="80" w:type="dxa"/>
            <w:vAlign w:val="bottom"/>
            <w:shd w:val="clear" w:color="auto" w:fill="E0E7ED"/>
          </w:tcPr>
          <w:p>
            <w:pPr>
              <w:spacing w:after="0"/>
              <w:rPr>
                <w:sz w:val="13"/>
                <w:szCs w:val="13"/>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5.43 %</w:t>
            </w:r>
          </w:p>
        </w:tc>
        <w:tc>
          <w:tcPr>
            <w:tcW w:w="80" w:type="dxa"/>
            <w:vAlign w:val="bottom"/>
            <w:shd w:val="clear" w:color="auto" w:fill="E0E7ED"/>
          </w:tcPr>
          <w:p>
            <w:pPr>
              <w:spacing w:after="0"/>
              <w:rPr>
                <w:sz w:val="13"/>
                <w:szCs w:val="13"/>
                <w:color w:val="auto"/>
              </w:rPr>
            </w:pPr>
          </w:p>
        </w:tc>
        <w:tc>
          <w:tcPr>
            <w:tcW w:w="300" w:type="dxa"/>
            <w:vAlign w:val="bottom"/>
            <w:shd w:val="clear" w:color="auto" w:fill="E0E7ED"/>
          </w:tcPr>
          <w:p>
            <w:pPr>
              <w:spacing w:after="0"/>
              <w:rPr>
                <w:sz w:val="13"/>
                <w:szCs w:val="13"/>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250,882</w:t>
            </w:r>
          </w:p>
        </w:tc>
        <w:tc>
          <w:tcPr>
            <w:tcW w:w="80" w:type="dxa"/>
            <w:vAlign w:val="bottom"/>
            <w:shd w:val="clear" w:color="auto" w:fill="E0E7ED"/>
          </w:tcPr>
          <w:p>
            <w:pPr>
              <w:spacing w:after="0"/>
              <w:rPr>
                <w:sz w:val="13"/>
                <w:szCs w:val="13"/>
                <w:color w:val="auto"/>
              </w:rPr>
            </w:pPr>
          </w:p>
        </w:tc>
        <w:tc>
          <w:tcPr>
            <w:tcW w:w="380" w:type="dxa"/>
            <w:vAlign w:val="bottom"/>
            <w:shd w:val="clear" w:color="auto" w:fill="E0E7ED"/>
          </w:tcPr>
          <w:p>
            <w:pPr>
              <w:spacing w:after="0"/>
              <w:rPr>
                <w:sz w:val="13"/>
                <w:szCs w:val="13"/>
                <w:color w:val="auto"/>
              </w:rPr>
            </w:pPr>
          </w:p>
        </w:tc>
        <w:tc>
          <w:tcPr>
            <w:tcW w:w="740" w:type="dxa"/>
            <w:vAlign w:val="bottom"/>
            <w:shd w:val="clear" w:color="auto" w:fill="E0E7ED"/>
          </w:tcPr>
          <w:p>
            <w:pPr>
              <w:jc w:val="right"/>
              <w:spacing w:after="0"/>
              <w:rPr>
                <w:sz w:val="20"/>
                <w:szCs w:val="20"/>
                <w:color w:val="auto"/>
              </w:rPr>
            </w:pPr>
            <w:r>
              <w:rPr>
                <w:rFonts w:ascii="Arial" w:cs="Arial" w:eastAsia="Arial" w:hAnsi="Arial"/>
                <w:sz w:val="11"/>
                <w:szCs w:val="11"/>
                <w:color w:val="auto"/>
              </w:rPr>
              <w:t>3,637</w:t>
            </w:r>
          </w:p>
        </w:tc>
        <w:tc>
          <w:tcPr>
            <w:tcW w:w="100" w:type="dxa"/>
            <w:vAlign w:val="bottom"/>
            <w:shd w:val="clear" w:color="auto" w:fill="E0E7ED"/>
          </w:tcPr>
          <w:p>
            <w:pPr>
              <w:spacing w:after="0"/>
              <w:rPr>
                <w:sz w:val="13"/>
                <w:szCs w:val="13"/>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1"/>
                <w:szCs w:val="11"/>
                <w:color w:val="auto"/>
              </w:rPr>
              <w:t>5.83 %</w:t>
            </w:r>
          </w:p>
        </w:tc>
      </w:tr>
      <w:tr>
        <w:trPr>
          <w:trHeight w:val="149"/>
        </w:trPr>
        <w:tc>
          <w:tcPr>
            <w:tcW w:w="3940" w:type="dxa"/>
            <w:vAlign w:val="bottom"/>
            <w:tcBorders>
              <w:bottom w:val="single" w:sz="8" w:color="E0E7ED"/>
            </w:tcBorders>
          </w:tcPr>
          <w:p>
            <w:pPr>
              <w:ind w:left="140"/>
              <w:spacing w:after="0"/>
              <w:rPr>
                <w:sz w:val="20"/>
                <w:szCs w:val="20"/>
                <w:color w:val="auto"/>
              </w:rPr>
            </w:pPr>
            <w:r>
              <w:rPr>
                <w:rFonts w:ascii="Arial" w:cs="Arial" w:eastAsia="Arial" w:hAnsi="Arial"/>
                <w:sz w:val="11"/>
                <w:szCs w:val="11"/>
                <w:color w:val="auto"/>
              </w:rPr>
              <w:t>Junior subordinated debt issued to unconsolidated trusts</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75,607</w:t>
            </w:r>
          </w:p>
        </w:tc>
        <w:tc>
          <w:tcPr>
            <w:tcW w:w="80" w:type="dxa"/>
            <w:vAlign w:val="bottom"/>
            <w:tcBorders>
              <w:bottom w:val="single" w:sz="8" w:color="E0E7ED"/>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1,355</w:t>
            </w:r>
          </w:p>
        </w:tc>
        <w:tc>
          <w:tcPr>
            <w:tcW w:w="80" w:type="dxa"/>
            <w:vAlign w:val="bottom"/>
            <w:tcBorders>
              <w:bottom w:val="single" w:sz="8" w:color="E0E7ED"/>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7.27 %</w:t>
            </w:r>
          </w:p>
        </w:tc>
        <w:tc>
          <w:tcPr>
            <w:tcW w:w="80" w:type="dxa"/>
            <w:vAlign w:val="bottom"/>
            <w:tcBorders>
              <w:bottom w:val="single" w:sz="8" w:color="E0E7ED"/>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72,009</w:t>
            </w:r>
          </w:p>
        </w:tc>
        <w:tc>
          <w:tcPr>
            <w:tcW w:w="80" w:type="dxa"/>
            <w:vAlign w:val="bottom"/>
            <w:tcBorders>
              <w:bottom w:val="single" w:sz="8" w:color="E0E7ED"/>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989</w:t>
            </w:r>
          </w:p>
        </w:tc>
        <w:tc>
          <w:tcPr>
            <w:tcW w:w="100" w:type="dxa"/>
            <w:vAlign w:val="bottom"/>
            <w:tcBorders>
              <w:bottom w:val="single" w:sz="8" w:color="E0E7ED"/>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5.52 %</w:t>
            </w:r>
          </w:p>
        </w:tc>
      </w:tr>
      <w:tr>
        <w:trPr>
          <w:trHeight w:val="164"/>
        </w:trPr>
        <w:tc>
          <w:tcPr>
            <w:tcW w:w="3940" w:type="dxa"/>
            <w:vAlign w:val="bottom"/>
            <w:tcBorders>
              <w:bottom w:val="single" w:sz="8" w:color="E0E7ED"/>
            </w:tcBorders>
            <w:shd w:val="clear" w:color="auto" w:fill="E0E7ED"/>
          </w:tcPr>
          <w:p>
            <w:pPr>
              <w:ind w:left="140"/>
              <w:spacing w:after="0"/>
              <w:rPr>
                <w:sz w:val="20"/>
                <w:szCs w:val="20"/>
                <w:color w:val="auto"/>
              </w:rPr>
            </w:pPr>
            <w:r>
              <w:rPr>
                <w:rFonts w:ascii="Arial" w:cs="Arial" w:eastAsia="Arial" w:hAnsi="Arial"/>
                <w:sz w:val="11"/>
                <w:szCs w:val="11"/>
                <w:color w:val="auto"/>
              </w:rPr>
              <w:t>Total interest-bearing liabilities</w:t>
            </w:r>
          </w:p>
        </w:tc>
        <w:tc>
          <w:tcPr>
            <w:tcW w:w="280" w:type="dxa"/>
            <w:vAlign w:val="bottom"/>
            <w:tcBorders>
              <w:bottom w:val="single" w:sz="8" w:color="E0E7ED"/>
            </w:tcBorders>
            <w:shd w:val="clear" w:color="auto" w:fill="E0E7ED"/>
          </w:tcPr>
          <w:p>
            <w:pPr>
              <w:spacing w:after="0"/>
              <w:rPr>
                <w:sz w:val="13"/>
                <w:szCs w:val="13"/>
                <w:color w:val="auto"/>
              </w:rPr>
            </w:pPr>
          </w:p>
        </w:tc>
        <w:tc>
          <w:tcPr>
            <w:tcW w:w="840" w:type="dxa"/>
            <w:vAlign w:val="bottom"/>
            <w:tcBorders>
              <w:bottom w:val="single" w:sz="8" w:color="E0E7ED"/>
            </w:tcBorders>
            <w:shd w:val="clear" w:color="auto" w:fill="E0E7ED"/>
          </w:tcPr>
          <w:p>
            <w:pPr>
              <w:jc w:val="right"/>
              <w:ind w:right="3"/>
              <w:spacing w:after="0"/>
              <w:rPr>
                <w:sz w:val="20"/>
                <w:szCs w:val="20"/>
                <w:color w:val="auto"/>
              </w:rPr>
            </w:pPr>
            <w:r>
              <w:rPr>
                <w:rFonts w:ascii="Arial" w:cs="Arial" w:eastAsia="Arial" w:hAnsi="Arial"/>
                <w:sz w:val="11"/>
                <w:szCs w:val="11"/>
                <w:color w:val="auto"/>
              </w:rPr>
              <w:t>9,627,841</w:t>
            </w:r>
          </w:p>
        </w:tc>
        <w:tc>
          <w:tcPr>
            <w:tcW w:w="80" w:type="dxa"/>
            <w:vAlign w:val="bottom"/>
            <w:tcBorders>
              <w:bottom w:val="single" w:sz="8" w:color="E0E7ED"/>
            </w:tcBorders>
            <w:shd w:val="clear" w:color="auto" w:fill="E0E7ED"/>
          </w:tcPr>
          <w:p>
            <w:pPr>
              <w:spacing w:after="0"/>
              <w:rPr>
                <w:sz w:val="13"/>
                <w:szCs w:val="13"/>
                <w:color w:val="auto"/>
              </w:rPr>
            </w:pPr>
          </w:p>
        </w:tc>
        <w:tc>
          <w:tcPr>
            <w:tcW w:w="380" w:type="dxa"/>
            <w:vAlign w:val="bottom"/>
            <w:tcBorders>
              <w:bottom w:val="single" w:sz="8" w:color="auto"/>
            </w:tcBorders>
            <w:shd w:val="clear" w:color="auto" w:fill="E0E7ED"/>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63,084</w:t>
            </w:r>
          </w:p>
        </w:tc>
        <w:tc>
          <w:tcPr>
            <w:tcW w:w="80" w:type="dxa"/>
            <w:vAlign w:val="bottom"/>
            <w:tcBorders>
              <w:bottom w:val="single" w:sz="8" w:color="E0E7ED"/>
            </w:tcBorders>
            <w:shd w:val="clear" w:color="auto" w:fill="E0E7ED"/>
          </w:tcPr>
          <w:p>
            <w:pPr>
              <w:spacing w:after="0"/>
              <w:rPr>
                <w:sz w:val="13"/>
                <w:szCs w:val="13"/>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1"/>
                <w:szCs w:val="11"/>
                <w:color w:val="auto"/>
              </w:rPr>
              <w:t>2.66 %</w:t>
            </w:r>
          </w:p>
        </w:tc>
        <w:tc>
          <w:tcPr>
            <w:tcW w:w="80" w:type="dxa"/>
            <w:vAlign w:val="bottom"/>
            <w:tcBorders>
              <w:bottom w:val="single" w:sz="8" w:color="E0E7ED"/>
            </w:tcBorders>
            <w:shd w:val="clear" w:color="auto" w:fill="E0E7ED"/>
          </w:tcPr>
          <w:p>
            <w:pPr>
              <w:spacing w:after="0"/>
              <w:rPr>
                <w:sz w:val="13"/>
                <w:szCs w:val="13"/>
                <w:color w:val="auto"/>
              </w:rPr>
            </w:pPr>
          </w:p>
        </w:tc>
        <w:tc>
          <w:tcPr>
            <w:tcW w:w="300" w:type="dxa"/>
            <w:vAlign w:val="bottom"/>
            <w:tcBorders>
              <w:bottom w:val="single" w:sz="8" w:color="E0E7ED"/>
            </w:tcBorders>
            <w:shd w:val="clear" w:color="auto" w:fill="E0E7ED"/>
          </w:tcPr>
          <w:p>
            <w:pPr>
              <w:spacing w:after="0"/>
              <w:rPr>
                <w:sz w:val="13"/>
                <w:szCs w:val="13"/>
                <w:color w:val="auto"/>
              </w:rPr>
            </w:pPr>
          </w:p>
        </w:tc>
        <w:tc>
          <w:tcPr>
            <w:tcW w:w="840" w:type="dxa"/>
            <w:vAlign w:val="bottom"/>
            <w:tcBorders>
              <w:bottom w:val="single" w:sz="8" w:color="E0E7ED"/>
            </w:tcBorders>
            <w:shd w:val="clear" w:color="auto" w:fill="E0E7ED"/>
          </w:tcPr>
          <w:p>
            <w:pPr>
              <w:jc w:val="right"/>
              <w:ind w:right="3"/>
              <w:spacing w:after="0"/>
              <w:rPr>
                <w:sz w:val="20"/>
                <w:szCs w:val="20"/>
                <w:color w:val="auto"/>
              </w:rPr>
            </w:pPr>
            <w:r>
              <w:rPr>
                <w:rFonts w:ascii="Arial" w:cs="Arial" w:eastAsia="Arial" w:hAnsi="Arial"/>
                <w:sz w:val="11"/>
                <w:szCs w:val="11"/>
                <w:color w:val="auto"/>
              </w:rPr>
              <w:t>7,831,655</w:t>
            </w:r>
          </w:p>
        </w:tc>
        <w:tc>
          <w:tcPr>
            <w:tcW w:w="80" w:type="dxa"/>
            <w:vAlign w:val="bottom"/>
            <w:tcBorders>
              <w:bottom w:val="single" w:sz="8" w:color="E0E7ED"/>
            </w:tcBorders>
            <w:shd w:val="clear" w:color="auto" w:fill="E0E7ED"/>
          </w:tcPr>
          <w:p>
            <w:pPr>
              <w:spacing w:after="0"/>
              <w:rPr>
                <w:sz w:val="13"/>
                <w:szCs w:val="13"/>
                <w:color w:val="auto"/>
              </w:rPr>
            </w:pPr>
          </w:p>
        </w:tc>
        <w:tc>
          <w:tcPr>
            <w:tcW w:w="380" w:type="dxa"/>
            <w:vAlign w:val="bottom"/>
            <w:tcBorders>
              <w:bottom w:val="single" w:sz="8" w:color="auto"/>
            </w:tcBorders>
            <w:shd w:val="clear" w:color="auto" w:fill="E0E7ED"/>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49,966</w:t>
            </w:r>
          </w:p>
        </w:tc>
        <w:tc>
          <w:tcPr>
            <w:tcW w:w="100" w:type="dxa"/>
            <w:vAlign w:val="bottom"/>
            <w:tcBorders>
              <w:bottom w:val="single" w:sz="8" w:color="E0E7ED"/>
            </w:tcBorders>
            <w:shd w:val="clear" w:color="auto" w:fill="E0E7ED"/>
          </w:tcPr>
          <w:p>
            <w:pPr>
              <w:spacing w:after="0"/>
              <w:rPr>
                <w:sz w:val="13"/>
                <w:szCs w:val="1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1"/>
                <w:szCs w:val="11"/>
                <w:color w:val="auto"/>
              </w:rPr>
              <w:t>2.57 %</w:t>
            </w:r>
          </w:p>
        </w:tc>
      </w:tr>
      <w:tr>
        <w:trPr>
          <w:trHeight w:val="20"/>
        </w:trPr>
        <w:tc>
          <w:tcPr>
            <w:tcW w:w="394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tcBorders>
          </w:tcPr>
          <w:p>
            <w:pPr>
              <w:spacing w:after="0" w:line="20" w:lineRule="exact"/>
              <w:rPr>
                <w:sz w:val="1"/>
                <w:szCs w:val="1"/>
                <w:color w:val="auto"/>
              </w:rPr>
            </w:pPr>
          </w:p>
        </w:tc>
        <w:tc>
          <w:tcPr>
            <w:tcW w:w="8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7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tcBorders>
          </w:tcPr>
          <w:p>
            <w:pPr>
              <w:spacing w:after="0" w:line="20" w:lineRule="exact"/>
              <w:rPr>
                <w:sz w:val="1"/>
                <w:szCs w:val="1"/>
                <w:color w:val="auto"/>
              </w:rPr>
            </w:pPr>
          </w:p>
        </w:tc>
        <w:tc>
          <w:tcPr>
            <w:tcW w:w="8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7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0" w:type="dxa"/>
            <w:vAlign w:val="bottom"/>
            <w:tcBorders>
              <w:top w:val="single" w:sz="8" w:color="E0E7ED"/>
            </w:tcBorders>
          </w:tcPr>
          <w:p>
            <w:pPr>
              <w:spacing w:after="0" w:line="20" w:lineRule="exact"/>
              <w:rPr>
                <w:sz w:val="1"/>
                <w:szCs w:val="1"/>
                <w:color w:val="auto"/>
              </w:rPr>
            </w:pPr>
          </w:p>
        </w:tc>
      </w:tr>
      <w:tr>
        <w:trPr>
          <w:trHeight w:val="111"/>
        </w:trPr>
        <w:tc>
          <w:tcPr>
            <w:tcW w:w="3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74"/>
        </w:trPr>
        <w:tc>
          <w:tcPr>
            <w:tcW w:w="3940" w:type="dxa"/>
            <w:vAlign w:val="bottom"/>
            <w:tcBorders>
              <w:bottom w:val="single" w:sz="8" w:color="E0E7ED"/>
            </w:tcBorders>
            <w:shd w:val="clear" w:color="auto" w:fill="E0E7ED"/>
          </w:tcPr>
          <w:p>
            <w:pPr>
              <w:ind w:left="140"/>
              <w:spacing w:after="0" w:line="149" w:lineRule="exact"/>
              <w:rPr>
                <w:sz w:val="20"/>
                <w:szCs w:val="20"/>
                <w:color w:val="auto"/>
              </w:rPr>
            </w:pPr>
            <w:r>
              <w:rPr>
                <w:rFonts w:ascii="Arial" w:cs="Arial" w:eastAsia="Arial" w:hAnsi="Arial"/>
                <w:sz w:val="11"/>
                <w:szCs w:val="11"/>
                <w:color w:val="auto"/>
              </w:rPr>
              <w:t>Net interest spread</w:t>
            </w:r>
            <w:r>
              <w:rPr>
                <w:rFonts w:ascii="Arial" w:cs="Arial" w:eastAsia="Arial" w:hAnsi="Arial"/>
                <w:sz w:val="14"/>
                <w:szCs w:val="14"/>
                <w:color w:val="auto"/>
                <w:vertAlign w:val="superscript"/>
              </w:rPr>
              <w:t>1</w:t>
            </w:r>
          </w:p>
        </w:tc>
        <w:tc>
          <w:tcPr>
            <w:tcW w:w="280" w:type="dxa"/>
            <w:vAlign w:val="bottom"/>
            <w:tcBorders>
              <w:bottom w:val="single" w:sz="8" w:color="E0E7ED"/>
            </w:tcBorders>
            <w:shd w:val="clear" w:color="auto" w:fill="E0E7ED"/>
          </w:tcPr>
          <w:p>
            <w:pPr>
              <w:spacing w:after="0"/>
              <w:rPr>
                <w:sz w:val="14"/>
                <w:szCs w:val="14"/>
                <w:color w:val="auto"/>
              </w:rPr>
            </w:pPr>
          </w:p>
        </w:tc>
        <w:tc>
          <w:tcPr>
            <w:tcW w:w="840" w:type="dxa"/>
            <w:vAlign w:val="bottom"/>
            <w:tcBorders>
              <w:bottom w:val="single" w:sz="8" w:color="E0E7ED"/>
            </w:tcBorders>
            <w:shd w:val="clear" w:color="auto" w:fill="E0E7ED"/>
          </w:tcPr>
          <w:p>
            <w:pPr>
              <w:spacing w:after="0"/>
              <w:rPr>
                <w:sz w:val="14"/>
                <w:szCs w:val="14"/>
                <w:color w:val="auto"/>
              </w:rPr>
            </w:pPr>
          </w:p>
        </w:tc>
        <w:tc>
          <w:tcPr>
            <w:tcW w:w="80" w:type="dxa"/>
            <w:vAlign w:val="bottom"/>
            <w:tcBorders>
              <w:bottom w:val="single" w:sz="8" w:color="E0E7ED"/>
            </w:tcBorders>
            <w:shd w:val="clear" w:color="auto" w:fill="E0E7ED"/>
          </w:tcPr>
          <w:p>
            <w:pPr>
              <w:spacing w:after="0"/>
              <w:rPr>
                <w:sz w:val="14"/>
                <w:szCs w:val="14"/>
                <w:color w:val="auto"/>
              </w:rPr>
            </w:pPr>
          </w:p>
        </w:tc>
        <w:tc>
          <w:tcPr>
            <w:tcW w:w="380" w:type="dxa"/>
            <w:vAlign w:val="bottom"/>
            <w:tcBorders>
              <w:bottom w:val="single" w:sz="8" w:color="E0E7ED"/>
            </w:tcBorders>
            <w:shd w:val="clear" w:color="auto" w:fill="E0E7ED"/>
          </w:tcPr>
          <w:p>
            <w:pPr>
              <w:spacing w:after="0"/>
              <w:rPr>
                <w:sz w:val="14"/>
                <w:szCs w:val="14"/>
                <w:color w:val="auto"/>
              </w:rPr>
            </w:pPr>
          </w:p>
        </w:tc>
        <w:tc>
          <w:tcPr>
            <w:tcW w:w="740" w:type="dxa"/>
            <w:vAlign w:val="bottom"/>
            <w:tcBorders>
              <w:bottom w:val="single" w:sz="8" w:color="E0E7ED"/>
            </w:tcBorders>
            <w:shd w:val="clear" w:color="auto" w:fill="E0E7ED"/>
          </w:tcPr>
          <w:p>
            <w:pPr>
              <w:spacing w:after="0"/>
              <w:rPr>
                <w:sz w:val="14"/>
                <w:szCs w:val="14"/>
                <w:color w:val="auto"/>
              </w:rPr>
            </w:pPr>
          </w:p>
        </w:tc>
        <w:tc>
          <w:tcPr>
            <w:tcW w:w="80" w:type="dxa"/>
            <w:vAlign w:val="bottom"/>
            <w:tcBorders>
              <w:bottom w:val="single" w:sz="8" w:color="E0E7ED"/>
            </w:tcBorders>
            <w:shd w:val="clear" w:color="auto" w:fill="E0E7ED"/>
          </w:tcPr>
          <w:p>
            <w:pPr>
              <w:spacing w:after="0"/>
              <w:rPr>
                <w:sz w:val="14"/>
                <w:szCs w:val="1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2.42 %</w:t>
            </w:r>
          </w:p>
        </w:tc>
        <w:tc>
          <w:tcPr>
            <w:tcW w:w="80" w:type="dxa"/>
            <w:vAlign w:val="bottom"/>
            <w:tcBorders>
              <w:bottom w:val="single" w:sz="8" w:color="E0E7ED"/>
            </w:tcBorders>
            <w:shd w:val="clear" w:color="auto" w:fill="E0E7ED"/>
          </w:tcPr>
          <w:p>
            <w:pPr>
              <w:spacing w:after="0"/>
              <w:rPr>
                <w:sz w:val="14"/>
                <w:szCs w:val="14"/>
                <w:color w:val="auto"/>
              </w:rPr>
            </w:pPr>
          </w:p>
        </w:tc>
        <w:tc>
          <w:tcPr>
            <w:tcW w:w="300" w:type="dxa"/>
            <w:vAlign w:val="bottom"/>
            <w:tcBorders>
              <w:bottom w:val="single" w:sz="8" w:color="E0E7ED"/>
            </w:tcBorders>
            <w:shd w:val="clear" w:color="auto" w:fill="E0E7ED"/>
          </w:tcPr>
          <w:p>
            <w:pPr>
              <w:spacing w:after="0"/>
              <w:rPr>
                <w:sz w:val="14"/>
                <w:szCs w:val="14"/>
                <w:color w:val="auto"/>
              </w:rPr>
            </w:pPr>
          </w:p>
        </w:tc>
        <w:tc>
          <w:tcPr>
            <w:tcW w:w="840" w:type="dxa"/>
            <w:vAlign w:val="bottom"/>
            <w:tcBorders>
              <w:bottom w:val="single" w:sz="8" w:color="E0E7ED"/>
            </w:tcBorders>
            <w:shd w:val="clear" w:color="auto" w:fill="E0E7ED"/>
          </w:tcPr>
          <w:p>
            <w:pPr>
              <w:spacing w:after="0"/>
              <w:rPr>
                <w:sz w:val="14"/>
                <w:szCs w:val="14"/>
                <w:color w:val="auto"/>
              </w:rPr>
            </w:pPr>
          </w:p>
        </w:tc>
        <w:tc>
          <w:tcPr>
            <w:tcW w:w="80" w:type="dxa"/>
            <w:vAlign w:val="bottom"/>
            <w:tcBorders>
              <w:bottom w:val="single" w:sz="8" w:color="E0E7ED"/>
            </w:tcBorders>
            <w:shd w:val="clear" w:color="auto" w:fill="E0E7ED"/>
          </w:tcPr>
          <w:p>
            <w:pPr>
              <w:spacing w:after="0"/>
              <w:rPr>
                <w:sz w:val="14"/>
                <w:szCs w:val="14"/>
                <w:color w:val="auto"/>
              </w:rPr>
            </w:pPr>
          </w:p>
        </w:tc>
        <w:tc>
          <w:tcPr>
            <w:tcW w:w="380" w:type="dxa"/>
            <w:vAlign w:val="bottom"/>
            <w:tcBorders>
              <w:bottom w:val="single" w:sz="8" w:color="E0E7ED"/>
            </w:tcBorders>
            <w:shd w:val="clear" w:color="auto" w:fill="E0E7ED"/>
          </w:tcPr>
          <w:p>
            <w:pPr>
              <w:spacing w:after="0"/>
              <w:rPr>
                <w:sz w:val="14"/>
                <w:szCs w:val="14"/>
                <w:color w:val="auto"/>
              </w:rPr>
            </w:pPr>
          </w:p>
        </w:tc>
        <w:tc>
          <w:tcPr>
            <w:tcW w:w="740" w:type="dxa"/>
            <w:vAlign w:val="bottom"/>
            <w:tcBorders>
              <w:bottom w:val="single" w:sz="8" w:color="E0E7ED"/>
            </w:tcBorders>
            <w:shd w:val="clear" w:color="auto" w:fill="E0E7ED"/>
          </w:tcPr>
          <w:p>
            <w:pPr>
              <w:spacing w:after="0"/>
              <w:rPr>
                <w:sz w:val="14"/>
                <w:szCs w:val="14"/>
                <w:color w:val="auto"/>
              </w:rPr>
            </w:pPr>
          </w:p>
        </w:tc>
        <w:tc>
          <w:tcPr>
            <w:tcW w:w="100" w:type="dxa"/>
            <w:vAlign w:val="bottom"/>
            <w:tcBorders>
              <w:bottom w:val="single" w:sz="8" w:color="E0E7ED"/>
            </w:tcBorders>
            <w:shd w:val="clear" w:color="auto" w:fill="E0E7ED"/>
          </w:tcPr>
          <w:p>
            <w:pPr>
              <w:spacing w:after="0"/>
              <w:rPr>
                <w:sz w:val="14"/>
                <w:szCs w:val="14"/>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2.04 %</w:t>
            </w:r>
          </w:p>
        </w:tc>
      </w:tr>
      <w:tr>
        <w:trPr>
          <w:trHeight w:val="20"/>
        </w:trPr>
        <w:tc>
          <w:tcPr>
            <w:tcW w:w="394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tcBorders>
          </w:tcPr>
          <w:p>
            <w:pPr>
              <w:spacing w:after="0" w:line="20" w:lineRule="exact"/>
              <w:rPr>
                <w:sz w:val="1"/>
                <w:szCs w:val="1"/>
                <w:color w:val="auto"/>
              </w:rPr>
            </w:pPr>
          </w:p>
        </w:tc>
        <w:tc>
          <w:tcPr>
            <w:tcW w:w="8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tcBorders>
          </w:tcPr>
          <w:p>
            <w:pPr>
              <w:spacing w:after="0" w:line="20" w:lineRule="exact"/>
              <w:rPr>
                <w:sz w:val="1"/>
                <w:szCs w:val="1"/>
                <w:color w:val="auto"/>
              </w:rPr>
            </w:pPr>
          </w:p>
        </w:tc>
        <w:tc>
          <w:tcPr>
            <w:tcW w:w="7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tcBorders>
          </w:tcPr>
          <w:p>
            <w:pPr>
              <w:spacing w:after="0" w:line="20" w:lineRule="exact"/>
              <w:rPr>
                <w:sz w:val="1"/>
                <w:szCs w:val="1"/>
                <w:color w:val="auto"/>
              </w:rPr>
            </w:pPr>
          </w:p>
        </w:tc>
        <w:tc>
          <w:tcPr>
            <w:tcW w:w="8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tcBorders>
          </w:tcPr>
          <w:p>
            <w:pPr>
              <w:spacing w:after="0" w:line="20" w:lineRule="exact"/>
              <w:rPr>
                <w:sz w:val="1"/>
                <w:szCs w:val="1"/>
                <w:color w:val="auto"/>
              </w:rPr>
            </w:pPr>
          </w:p>
        </w:tc>
        <w:tc>
          <w:tcPr>
            <w:tcW w:w="7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r>
      <w:tr>
        <w:trPr>
          <w:trHeight w:val="111"/>
        </w:trPr>
        <w:tc>
          <w:tcPr>
            <w:tcW w:w="3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49"/>
        </w:trPr>
        <w:tc>
          <w:tcPr>
            <w:tcW w:w="3940" w:type="dxa"/>
            <w:vAlign w:val="bottom"/>
            <w:shd w:val="clear" w:color="auto" w:fill="E0E7ED"/>
          </w:tcPr>
          <w:p>
            <w:pPr>
              <w:ind w:left="140"/>
              <w:spacing w:after="0"/>
              <w:rPr>
                <w:sz w:val="20"/>
                <w:szCs w:val="20"/>
                <w:color w:val="auto"/>
              </w:rPr>
            </w:pPr>
            <w:r>
              <w:rPr>
                <w:rFonts w:ascii="Arial" w:cs="Arial" w:eastAsia="Arial" w:hAnsi="Arial"/>
                <w:sz w:val="11"/>
                <w:szCs w:val="11"/>
                <w:color w:val="auto"/>
              </w:rPr>
              <w:t>Noninterest-bearing deposits</w:t>
            </w:r>
          </w:p>
        </w:tc>
        <w:tc>
          <w:tcPr>
            <w:tcW w:w="280" w:type="dxa"/>
            <w:vAlign w:val="bottom"/>
            <w:shd w:val="clear" w:color="auto" w:fill="E0E7ED"/>
          </w:tcPr>
          <w:p>
            <w:pPr>
              <w:spacing w:after="0"/>
              <w:rPr>
                <w:sz w:val="12"/>
                <w:szCs w:val="12"/>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3,036,127</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2,708,586</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200" w:type="dxa"/>
            <w:vAlign w:val="bottom"/>
            <w:shd w:val="clear" w:color="auto" w:fill="E0E7ED"/>
          </w:tcPr>
          <w:p>
            <w:pPr>
              <w:spacing w:after="0"/>
              <w:rPr>
                <w:sz w:val="12"/>
                <w:szCs w:val="12"/>
                <w:color w:val="auto"/>
              </w:rPr>
            </w:pPr>
          </w:p>
        </w:tc>
      </w:tr>
      <w:tr>
        <w:trPr>
          <w:trHeight w:val="149"/>
        </w:trPr>
        <w:tc>
          <w:tcPr>
            <w:tcW w:w="3940" w:type="dxa"/>
            <w:vAlign w:val="bottom"/>
          </w:tcPr>
          <w:p>
            <w:pPr>
              <w:ind w:left="140"/>
              <w:spacing w:after="0"/>
              <w:rPr>
                <w:sz w:val="20"/>
                <w:szCs w:val="20"/>
                <w:color w:val="auto"/>
              </w:rPr>
            </w:pPr>
            <w:r>
              <w:rPr>
                <w:rFonts w:ascii="Arial" w:cs="Arial" w:eastAsia="Arial" w:hAnsi="Arial"/>
                <w:sz w:val="11"/>
                <w:szCs w:val="11"/>
                <w:color w:val="auto"/>
              </w:rPr>
              <w:t>Other liabilities</w:t>
            </w:r>
          </w:p>
        </w:tc>
        <w:tc>
          <w:tcPr>
            <w:tcW w:w="2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232,254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208,243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3940" w:type="dxa"/>
            <w:vAlign w:val="bottom"/>
            <w:shd w:val="clear" w:color="auto" w:fill="E0E7ED"/>
          </w:tcPr>
          <w:p>
            <w:pPr>
              <w:ind w:left="140"/>
              <w:spacing w:after="0"/>
              <w:rPr>
                <w:sz w:val="20"/>
                <w:szCs w:val="20"/>
                <w:color w:val="auto"/>
              </w:rPr>
            </w:pPr>
            <w:r>
              <w:rPr>
                <w:rFonts w:ascii="Arial" w:cs="Arial" w:eastAsia="Arial" w:hAnsi="Arial"/>
                <w:sz w:val="11"/>
                <w:szCs w:val="11"/>
                <w:color w:val="auto"/>
              </w:rPr>
              <w:t>Stockholders’ equity</w:t>
            </w:r>
          </w:p>
        </w:tc>
        <w:tc>
          <w:tcPr>
            <w:tcW w:w="280" w:type="dxa"/>
            <w:vAlign w:val="bottom"/>
            <w:tcBorders>
              <w:bottom w:val="single" w:sz="8" w:color="auto"/>
            </w:tcBorders>
            <w:shd w:val="clear" w:color="auto" w:fill="E0E7ED"/>
          </w:tcPr>
          <w:p>
            <w:pPr>
              <w:spacing w:after="0"/>
              <w:rPr>
                <w:sz w:val="12"/>
                <w:szCs w:val="12"/>
                <w:color w:val="auto"/>
              </w:rPr>
            </w:pPr>
          </w:p>
        </w:tc>
        <w:tc>
          <w:tcPr>
            <w:tcW w:w="84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1,935,076</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00" w:type="dxa"/>
            <w:vAlign w:val="bottom"/>
            <w:tcBorders>
              <w:bottom w:val="single" w:sz="8" w:color="auto"/>
            </w:tcBorders>
            <w:shd w:val="clear" w:color="auto" w:fill="E0E7ED"/>
          </w:tcPr>
          <w:p>
            <w:pPr>
              <w:spacing w:after="0"/>
              <w:rPr>
                <w:sz w:val="12"/>
                <w:szCs w:val="12"/>
                <w:color w:val="auto"/>
              </w:rPr>
            </w:pPr>
          </w:p>
        </w:tc>
        <w:tc>
          <w:tcPr>
            <w:tcW w:w="84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1"/>
                <w:szCs w:val="11"/>
                <w:color w:val="auto"/>
              </w:rPr>
              <w:t>1,275,724</w:t>
            </w:r>
          </w:p>
        </w:tc>
        <w:tc>
          <w:tcPr>
            <w:tcW w:w="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7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200" w:type="dxa"/>
            <w:vAlign w:val="bottom"/>
            <w:shd w:val="clear" w:color="auto" w:fill="E0E7ED"/>
          </w:tcPr>
          <w:p>
            <w:pPr>
              <w:spacing w:after="0"/>
              <w:rPr>
                <w:sz w:val="12"/>
                <w:szCs w:val="12"/>
                <w:color w:val="auto"/>
              </w:rPr>
            </w:pPr>
          </w:p>
        </w:tc>
      </w:tr>
      <w:tr>
        <w:trPr>
          <w:trHeight w:val="139"/>
        </w:trPr>
        <w:tc>
          <w:tcPr>
            <w:tcW w:w="394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14,831,298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12,024,208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
        </w:trPr>
        <w:tc>
          <w:tcPr>
            <w:tcW w:w="3940" w:type="dxa"/>
            <w:vAlign w:val="bottom"/>
            <w:tcBorders>
              <w:bottom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E0E7ED"/>
            </w:tcBorders>
          </w:tcPr>
          <w:p>
            <w:pPr>
              <w:spacing w:after="0" w:line="20" w:lineRule="exact"/>
              <w:rPr>
                <w:sz w:val="1"/>
                <w:szCs w:val="1"/>
                <w:color w:val="auto"/>
              </w:rPr>
            </w:pPr>
          </w:p>
        </w:tc>
        <w:tc>
          <w:tcPr>
            <w:tcW w:w="7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E0E7ED"/>
            </w:tcBorders>
          </w:tcPr>
          <w:p>
            <w:pPr>
              <w:spacing w:after="0" w:line="20" w:lineRule="exact"/>
              <w:rPr>
                <w:sz w:val="1"/>
                <w:szCs w:val="1"/>
                <w:color w:val="auto"/>
              </w:rPr>
            </w:pPr>
          </w:p>
        </w:tc>
        <w:tc>
          <w:tcPr>
            <w:tcW w:w="7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r>
      <w:tr>
        <w:trPr>
          <w:trHeight w:val="131"/>
        </w:trPr>
        <w:tc>
          <w:tcPr>
            <w:tcW w:w="3940" w:type="dxa"/>
            <w:vAlign w:val="bottom"/>
            <w:shd w:val="clear" w:color="auto" w:fill="E0E7ED"/>
          </w:tcPr>
          <w:p>
            <w:pPr>
              <w:spacing w:after="0"/>
              <w:rPr>
                <w:sz w:val="11"/>
                <w:szCs w:val="11"/>
                <w:color w:val="auto"/>
              </w:rPr>
            </w:pPr>
          </w:p>
        </w:tc>
        <w:tc>
          <w:tcPr>
            <w:tcW w:w="280" w:type="dxa"/>
            <w:vAlign w:val="bottom"/>
            <w:shd w:val="clear" w:color="auto" w:fill="E0E7ED"/>
          </w:tcPr>
          <w:p>
            <w:pPr>
              <w:spacing w:after="0"/>
              <w:rPr>
                <w:sz w:val="11"/>
                <w:szCs w:val="11"/>
                <w:color w:val="auto"/>
              </w:rPr>
            </w:pPr>
          </w:p>
        </w:tc>
        <w:tc>
          <w:tcPr>
            <w:tcW w:w="8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80" w:type="dxa"/>
            <w:vAlign w:val="bottom"/>
            <w:shd w:val="clear" w:color="auto" w:fill="E0E7ED"/>
          </w:tcPr>
          <w:p>
            <w:pPr>
              <w:spacing w:after="0"/>
              <w:rPr>
                <w:sz w:val="11"/>
                <w:szCs w:val="11"/>
                <w:color w:val="auto"/>
              </w:rPr>
            </w:pPr>
          </w:p>
        </w:tc>
        <w:tc>
          <w:tcPr>
            <w:tcW w:w="7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22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00" w:type="dxa"/>
            <w:vAlign w:val="bottom"/>
            <w:shd w:val="clear" w:color="auto" w:fill="E0E7ED"/>
          </w:tcPr>
          <w:p>
            <w:pPr>
              <w:spacing w:after="0"/>
              <w:rPr>
                <w:sz w:val="11"/>
                <w:szCs w:val="11"/>
                <w:color w:val="auto"/>
              </w:rPr>
            </w:pPr>
          </w:p>
        </w:tc>
        <w:tc>
          <w:tcPr>
            <w:tcW w:w="8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80" w:type="dxa"/>
            <w:vAlign w:val="bottom"/>
            <w:shd w:val="clear" w:color="auto" w:fill="E0E7ED"/>
          </w:tcPr>
          <w:p>
            <w:pPr>
              <w:spacing w:after="0"/>
              <w:rPr>
                <w:sz w:val="11"/>
                <w:szCs w:val="11"/>
                <w:color w:val="auto"/>
              </w:rPr>
            </w:pPr>
          </w:p>
        </w:tc>
        <w:tc>
          <w:tcPr>
            <w:tcW w:w="7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200" w:type="dxa"/>
            <w:vAlign w:val="bottom"/>
            <w:shd w:val="clear" w:color="auto" w:fill="E0E7ED"/>
          </w:tcPr>
          <w:p>
            <w:pPr>
              <w:spacing w:after="0"/>
              <w:rPr>
                <w:sz w:val="11"/>
                <w:szCs w:val="11"/>
                <w:color w:val="auto"/>
              </w:rPr>
            </w:pPr>
          </w:p>
        </w:tc>
      </w:tr>
      <w:tr>
        <w:trPr>
          <w:trHeight w:val="159"/>
        </w:trPr>
        <w:tc>
          <w:tcPr>
            <w:tcW w:w="3940" w:type="dxa"/>
            <w:vAlign w:val="bottom"/>
          </w:tcPr>
          <w:p>
            <w:pPr>
              <w:ind w:left="20"/>
              <w:spacing w:after="0" w:line="159" w:lineRule="exact"/>
              <w:rPr>
                <w:sz w:val="20"/>
                <w:szCs w:val="20"/>
                <w:color w:val="auto"/>
              </w:rPr>
            </w:pPr>
            <w:r>
              <w:rPr>
                <w:rFonts w:ascii="Arial" w:cs="Arial" w:eastAsia="Arial" w:hAnsi="Arial"/>
                <w:sz w:val="11"/>
                <w:szCs w:val="11"/>
                <w:color w:val="auto"/>
              </w:rPr>
              <w:t>Interest income / earning assets</w:t>
            </w:r>
            <w:r>
              <w:rPr>
                <w:rFonts w:ascii="Arial" w:cs="Arial" w:eastAsia="Arial" w:hAnsi="Arial"/>
                <w:sz w:val="14"/>
                <w:szCs w:val="14"/>
                <w:color w:val="auto"/>
                <w:vertAlign w:val="superscript"/>
              </w:rPr>
              <w:t>1, 3</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13,363,594</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167,352</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5.08 %</w:t>
            </w: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11,005,903</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126,269</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4.61 %</w:t>
            </w:r>
          </w:p>
        </w:tc>
      </w:tr>
      <w:tr>
        <w:trPr>
          <w:trHeight w:val="149"/>
        </w:trPr>
        <w:tc>
          <w:tcPr>
            <w:tcW w:w="3940" w:type="dxa"/>
            <w:vAlign w:val="bottom"/>
            <w:shd w:val="clear" w:color="auto" w:fill="E0E7ED"/>
          </w:tcPr>
          <w:p>
            <w:pPr>
              <w:ind w:left="20"/>
              <w:spacing w:after="0"/>
              <w:rPr>
                <w:sz w:val="20"/>
                <w:szCs w:val="20"/>
                <w:color w:val="auto"/>
              </w:rPr>
            </w:pPr>
            <w:r>
              <w:rPr>
                <w:rFonts w:ascii="Arial" w:cs="Arial" w:eastAsia="Arial" w:hAnsi="Arial"/>
                <w:sz w:val="11"/>
                <w:szCs w:val="11"/>
                <w:color w:val="auto"/>
              </w:rPr>
              <w:t>Interest expense / earning assets</w:t>
            </w:r>
          </w:p>
        </w:tc>
        <w:tc>
          <w:tcPr>
            <w:tcW w:w="280" w:type="dxa"/>
            <w:vAlign w:val="bottom"/>
            <w:shd w:val="clear" w:color="auto" w:fill="E0E7ED"/>
          </w:tcPr>
          <w:p>
            <w:pPr>
              <w:spacing w:after="0"/>
              <w:rPr>
                <w:sz w:val="12"/>
                <w:szCs w:val="12"/>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13,363,594</w:t>
            </w:r>
          </w:p>
        </w:tc>
        <w:tc>
          <w:tcPr>
            <w:tcW w:w="80" w:type="dxa"/>
            <w:vAlign w:val="bottom"/>
            <w:shd w:val="clear" w:color="auto" w:fill="E0E7ED"/>
          </w:tcPr>
          <w:p>
            <w:pPr>
              <w:spacing w:after="0"/>
              <w:rPr>
                <w:sz w:val="12"/>
                <w:szCs w:val="12"/>
                <w:color w:val="auto"/>
              </w:rPr>
            </w:pPr>
          </w:p>
        </w:tc>
        <w:tc>
          <w:tcPr>
            <w:tcW w:w="380" w:type="dxa"/>
            <w:vAlign w:val="bottom"/>
            <w:tcBorders>
              <w:bottom w:val="single" w:sz="8" w:color="auto"/>
            </w:tcBorders>
            <w:shd w:val="clear" w:color="auto" w:fill="E0E7ED"/>
          </w:tcPr>
          <w:p>
            <w:pPr>
              <w:spacing w:after="0"/>
              <w:rPr>
                <w:sz w:val="12"/>
                <w:szCs w:val="12"/>
                <w:color w:val="auto"/>
              </w:rPr>
            </w:pPr>
          </w:p>
        </w:tc>
        <w:tc>
          <w:tcPr>
            <w:tcW w:w="7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63,084</w:t>
            </w:r>
          </w:p>
        </w:tc>
        <w:tc>
          <w:tcPr>
            <w:tcW w:w="80" w:type="dxa"/>
            <w:vAlign w:val="bottom"/>
            <w:shd w:val="clear" w:color="auto" w:fill="E0E7ED"/>
          </w:tcPr>
          <w:p>
            <w:pPr>
              <w:spacing w:after="0"/>
              <w:rPr>
                <w:sz w:val="12"/>
                <w:szCs w:val="12"/>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1.92 %</w:t>
            </w:r>
          </w:p>
        </w:tc>
        <w:tc>
          <w:tcPr>
            <w:tcW w:w="8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840" w:type="dxa"/>
            <w:vAlign w:val="bottom"/>
            <w:shd w:val="clear" w:color="auto" w:fill="E0E7ED"/>
          </w:tcPr>
          <w:p>
            <w:pPr>
              <w:jc w:val="right"/>
              <w:ind w:right="3"/>
              <w:spacing w:after="0"/>
              <w:rPr>
                <w:sz w:val="20"/>
                <w:szCs w:val="20"/>
                <w:color w:val="auto"/>
              </w:rPr>
            </w:pPr>
            <w:r>
              <w:rPr>
                <w:rFonts w:ascii="Arial" w:cs="Arial" w:eastAsia="Arial" w:hAnsi="Arial"/>
                <w:sz w:val="11"/>
                <w:szCs w:val="11"/>
                <w:color w:val="auto"/>
              </w:rPr>
              <w:t>11,005,903</w:t>
            </w:r>
          </w:p>
        </w:tc>
        <w:tc>
          <w:tcPr>
            <w:tcW w:w="80" w:type="dxa"/>
            <w:vAlign w:val="bottom"/>
            <w:shd w:val="clear" w:color="auto" w:fill="E0E7ED"/>
          </w:tcPr>
          <w:p>
            <w:pPr>
              <w:spacing w:after="0"/>
              <w:rPr>
                <w:sz w:val="12"/>
                <w:szCs w:val="12"/>
                <w:color w:val="auto"/>
              </w:rPr>
            </w:pPr>
          </w:p>
        </w:tc>
        <w:tc>
          <w:tcPr>
            <w:tcW w:w="380" w:type="dxa"/>
            <w:vAlign w:val="bottom"/>
            <w:tcBorders>
              <w:bottom w:val="single" w:sz="8" w:color="auto"/>
            </w:tcBorders>
            <w:shd w:val="clear" w:color="auto" w:fill="E0E7ED"/>
          </w:tcPr>
          <w:p>
            <w:pPr>
              <w:spacing w:after="0"/>
              <w:rPr>
                <w:sz w:val="12"/>
                <w:szCs w:val="12"/>
                <w:color w:val="auto"/>
              </w:rPr>
            </w:pPr>
          </w:p>
        </w:tc>
        <w:tc>
          <w:tcPr>
            <w:tcW w:w="7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49,966</w:t>
            </w:r>
          </w:p>
        </w:tc>
        <w:tc>
          <w:tcPr>
            <w:tcW w:w="100" w:type="dxa"/>
            <w:vAlign w:val="bottom"/>
            <w:shd w:val="clear" w:color="auto" w:fill="E0E7ED"/>
          </w:tcPr>
          <w:p>
            <w:pPr>
              <w:spacing w:after="0"/>
              <w:rPr>
                <w:sz w:val="12"/>
                <w:szCs w:val="1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1"/>
                <w:szCs w:val="11"/>
                <w:color w:val="auto"/>
              </w:rPr>
              <w:t>1.82 %</w:t>
            </w:r>
          </w:p>
        </w:tc>
      </w:tr>
      <w:tr>
        <w:trPr>
          <w:trHeight w:val="139"/>
        </w:trPr>
        <w:tc>
          <w:tcPr>
            <w:tcW w:w="3940" w:type="dxa"/>
            <w:vAlign w:val="bottom"/>
          </w:tcPr>
          <w:p>
            <w:pPr>
              <w:ind w:left="20"/>
              <w:spacing w:after="0" w:line="139" w:lineRule="exact"/>
              <w:rPr>
                <w:sz w:val="20"/>
                <w:szCs w:val="20"/>
                <w:color w:val="auto"/>
              </w:rPr>
            </w:pPr>
            <w:r>
              <w:rPr>
                <w:rFonts w:ascii="Arial" w:cs="Arial" w:eastAsia="Arial" w:hAnsi="Arial"/>
                <w:sz w:val="11"/>
                <w:szCs w:val="11"/>
                <w:color w:val="auto"/>
              </w:rPr>
              <w:t>Net interest margin</w:t>
            </w:r>
            <w:r>
              <w:rPr>
                <w:rFonts w:ascii="Arial" w:cs="Arial" w:eastAsia="Arial" w:hAnsi="Arial"/>
                <w:sz w:val="14"/>
                <w:szCs w:val="14"/>
                <w:color w:val="auto"/>
                <w:vertAlign w:val="superscript"/>
              </w:rPr>
              <w:t>1</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104,268</w:t>
            </w:r>
          </w:p>
        </w:tc>
        <w:tc>
          <w:tcPr>
            <w:tcW w:w="80" w:type="dxa"/>
            <w:vAlign w:val="bottom"/>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3.16 %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76,303</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2.79 %</w:t>
            </w:r>
          </w:p>
        </w:tc>
      </w:tr>
      <w:tr>
        <w:trPr>
          <w:trHeight w:val="20"/>
        </w:trPr>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11" w:lineRule="exact"/>
        <w:rPr>
          <w:sz w:val="20"/>
          <w:szCs w:val="20"/>
          <w:color w:val="auto"/>
        </w:rPr>
      </w:pPr>
    </w:p>
    <w:p>
      <w:pPr>
        <w:ind w:left="380" w:hanging="248"/>
        <w:spacing w:after="0" w:line="261" w:lineRule="auto"/>
        <w:tabs>
          <w:tab w:leader="none" w:pos="4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 xml:space="preserve">On a tax-equivalent basis and assuming a federal income tax rate of 21.0%. For a reconciliation of non-GAAP measures to the most directly comparable GAAP financial measures, see </w:t>
      </w:r>
      <w:r>
        <w:rPr>
          <w:rFonts w:ascii="Arial" w:cs="Arial" w:eastAsia="Arial" w:hAnsi="Arial"/>
          <w:sz w:val="11"/>
          <w:szCs w:val="11"/>
          <w:u w:val="single" w:color="auto"/>
          <w:color w:val="0000FF"/>
        </w:rPr>
        <w:t>“</w:t>
      </w:r>
      <w:r>
        <w:rPr>
          <w:rFonts w:ascii="Arial" w:cs="Arial" w:eastAsia="Arial" w:hAnsi="Arial"/>
          <w:sz w:val="11"/>
          <w:szCs w:val="11"/>
          <w:i w:val="1"/>
          <w:iCs w:val="1"/>
          <w:u w:val="single" w:color="auto"/>
          <w:color w:val="0000FF"/>
        </w:rPr>
        <w:t>Item 2. Management’s</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0000FF"/>
        </w:rPr>
        <w:t>Discussion and Analysis—Non-GAAP Financial Information</w:t>
      </w:r>
      <w:r>
        <w:rPr>
          <w:rFonts w:ascii="Arial" w:cs="Arial" w:eastAsia="Arial" w:hAnsi="Arial"/>
          <w:sz w:val="11"/>
          <w:szCs w:val="11"/>
          <w:u w:val="single" w:color="auto"/>
          <w:color w:val="0000FF"/>
        </w:rPr>
        <w:t>”</w:t>
      </w:r>
      <w:r>
        <w:rPr>
          <w:rFonts w:ascii="Arial" w:cs="Arial" w:eastAsia="Arial" w:hAnsi="Arial"/>
          <w:sz w:val="11"/>
          <w:szCs w:val="11"/>
          <w:i w:val="1"/>
          <w:iCs w:val="1"/>
          <w:color w:val="0000FF"/>
        </w:rPr>
        <w:t xml:space="preserve"> </w:t>
      </w:r>
      <w:r>
        <w:rPr>
          <w:rFonts w:ascii="Arial" w:cs="Arial" w:eastAsia="Arial" w:hAnsi="Arial"/>
          <w:sz w:val="11"/>
          <w:szCs w:val="11"/>
          <w:color w:val="000000"/>
        </w:rPr>
        <w:t>included in this Quarterly Report.</w:t>
      </w:r>
    </w:p>
    <w:p>
      <w:pPr>
        <w:ind w:left="380" w:hanging="248"/>
        <w:spacing w:after="0"/>
        <w:tabs>
          <w:tab w:leader="none" w:pos="3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Non-accrual loans have been included in average portfolio loans.</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72" w:name="page73"/>
    <w:bookmarkEnd w:id="72"/>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hanging="248"/>
        <w:spacing w:after="0"/>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Interest income includes tax-equivalent adjustments of $0.5 million and $0.4 million for the three months ended March 31, 2025 and 2024, respectively.</w:t>
      </w:r>
    </w:p>
    <w:p>
      <w:pPr>
        <w:spacing w:after="0" w:line="10" w:lineRule="exact"/>
        <w:rPr>
          <w:rFonts w:ascii="Arial" w:cs="Arial" w:eastAsia="Arial" w:hAnsi="Arial"/>
          <w:sz w:val="11"/>
          <w:szCs w:val="11"/>
          <w:color w:val="auto"/>
        </w:rPr>
      </w:pPr>
    </w:p>
    <w:p>
      <w:pPr>
        <w:ind w:left="380" w:hanging="248"/>
        <w:spacing w:after="0"/>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Includes short-term and long-term borrowings. Interest expense includes non-usage fees on a revolving loan.</w:t>
      </w:r>
    </w:p>
    <w:p>
      <w:pPr>
        <w:spacing w:after="0" w:line="11" w:lineRule="exact"/>
        <w:rPr>
          <w:rFonts w:ascii="Arial" w:cs="Arial" w:eastAsia="Arial" w:hAnsi="Arial"/>
          <w:sz w:val="11"/>
          <w:szCs w:val="11"/>
          <w:color w:val="auto"/>
        </w:rPr>
      </w:pPr>
    </w:p>
    <w:p>
      <w:pPr>
        <w:ind w:left="380" w:hanging="248"/>
        <w:spacing w:after="0"/>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Annualized.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Notable changes in average assets and average liabilities are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gridSpan w:val="5"/>
          </w:tcPr>
          <w:p>
            <w:pPr>
              <w:ind w:left="340"/>
              <w:spacing w:after="0"/>
              <w:rPr>
                <w:sz w:val="20"/>
                <w:szCs w:val="20"/>
                <w:color w:val="auto"/>
              </w:rPr>
            </w:pPr>
            <w:r>
              <w:rPr>
                <w:rFonts w:ascii="Arial" w:cs="Arial" w:eastAsia="Arial" w:hAnsi="Arial"/>
                <w:sz w:val="11"/>
                <w:szCs w:val="11"/>
                <w:b w:val="1"/>
                <w:bCs w:val="1"/>
                <w:color w:val="auto"/>
              </w:rPr>
              <w:t>Three Months Ended March 31,</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39"/>
        </w:trPr>
        <w:tc>
          <w:tcPr>
            <w:tcW w:w="530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Change</w:t>
            </w:r>
          </w:p>
        </w:tc>
        <w:tc>
          <w:tcPr>
            <w:tcW w:w="1440" w:type="dxa"/>
            <w:vAlign w:val="bottom"/>
          </w:tcPr>
          <w:p>
            <w:pPr>
              <w:jc w:val="right"/>
              <w:ind w:right="372"/>
              <w:spacing w:after="0"/>
              <w:rPr>
                <w:sz w:val="20"/>
                <w:szCs w:val="20"/>
                <w:color w:val="auto"/>
              </w:rPr>
            </w:pPr>
            <w:r>
              <w:rPr>
                <w:rFonts w:ascii="Arial" w:cs="Arial" w:eastAsia="Arial" w:hAnsi="Arial"/>
                <w:sz w:val="11"/>
                <w:szCs w:val="11"/>
                <w:b w:val="1"/>
                <w:bCs w:val="1"/>
                <w:color w:val="auto"/>
              </w:rPr>
              <w:t>% Change</w:t>
            </w:r>
          </w:p>
        </w:tc>
      </w:tr>
      <w:tr>
        <w:trPr>
          <w:trHeight w:val="203"/>
        </w:trPr>
        <w:tc>
          <w:tcPr>
            <w:tcW w:w="53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Average interest-earning assets</w:t>
            </w:r>
          </w:p>
        </w:tc>
        <w:tc>
          <w:tcPr>
            <w:tcW w:w="340" w:type="dxa"/>
            <w:vAlign w:val="bottom"/>
            <w:tcBorders>
              <w:top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E0E7ED"/>
          </w:tcPr>
          <w:p>
            <w:pPr>
              <w:jc w:val="right"/>
              <w:ind w:right="112"/>
              <w:spacing w:after="0"/>
              <w:rPr>
                <w:sz w:val="20"/>
                <w:szCs w:val="20"/>
                <w:color w:val="auto"/>
              </w:rPr>
            </w:pPr>
            <w:r>
              <w:rPr>
                <w:rFonts w:ascii="Arial" w:cs="Arial" w:eastAsia="Arial" w:hAnsi="Arial"/>
                <w:sz w:val="14"/>
                <w:szCs w:val="14"/>
                <w:color w:val="auto"/>
              </w:rPr>
              <w:t>13,363,594</w:t>
            </w:r>
          </w:p>
        </w:tc>
        <w:tc>
          <w:tcPr>
            <w:tcW w:w="80" w:type="dxa"/>
            <w:vAlign w:val="bottom"/>
            <w:tcBorders>
              <w:top w:val="single" w:sz="8" w:color="E0E7ED"/>
            </w:tcBorders>
            <w:shd w:val="clear" w:color="auto" w:fill="E0E7ED"/>
          </w:tcPr>
          <w:p>
            <w:pPr>
              <w:spacing w:after="0"/>
              <w:rPr>
                <w:sz w:val="17"/>
                <w:szCs w:val="17"/>
                <w:color w:val="auto"/>
              </w:rPr>
            </w:pPr>
          </w:p>
        </w:tc>
        <w:tc>
          <w:tcPr>
            <w:tcW w:w="340" w:type="dxa"/>
            <w:vAlign w:val="bottom"/>
            <w:tcBorders>
              <w:top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E0E7ED"/>
          </w:tcPr>
          <w:p>
            <w:pPr>
              <w:jc w:val="right"/>
              <w:ind w:right="131"/>
              <w:spacing w:after="0"/>
              <w:rPr>
                <w:sz w:val="20"/>
                <w:szCs w:val="20"/>
                <w:color w:val="auto"/>
              </w:rPr>
            </w:pPr>
            <w:r>
              <w:rPr>
                <w:rFonts w:ascii="Arial" w:cs="Arial" w:eastAsia="Arial" w:hAnsi="Arial"/>
                <w:sz w:val="14"/>
                <w:szCs w:val="14"/>
                <w:color w:val="auto"/>
              </w:rPr>
              <w:t>11,005,903</w:t>
            </w:r>
          </w:p>
        </w:tc>
        <w:tc>
          <w:tcPr>
            <w:tcW w:w="80" w:type="dxa"/>
            <w:vAlign w:val="bottom"/>
            <w:tcBorders>
              <w:top w:val="single" w:sz="8" w:color="E0E7ED"/>
            </w:tcBorders>
            <w:shd w:val="clear" w:color="auto" w:fill="E0E7ED"/>
          </w:tcPr>
          <w:p>
            <w:pPr>
              <w:spacing w:after="0"/>
              <w:rPr>
                <w:sz w:val="17"/>
                <w:szCs w:val="17"/>
                <w:color w:val="auto"/>
              </w:rPr>
            </w:pPr>
          </w:p>
        </w:tc>
        <w:tc>
          <w:tcPr>
            <w:tcW w:w="280" w:type="dxa"/>
            <w:vAlign w:val="bottom"/>
            <w:tcBorders>
              <w:top w:val="single" w:sz="8" w:color="auto"/>
            </w:tcBorders>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2,357,691</w:t>
            </w:r>
          </w:p>
        </w:tc>
        <w:tc>
          <w:tcPr>
            <w:tcW w:w="80" w:type="dxa"/>
            <w:vAlign w:val="bottom"/>
            <w:tcBorders>
              <w:top w:val="single" w:sz="8" w:color="E0E7ED"/>
            </w:tcBorders>
            <w:shd w:val="clear" w:color="auto" w:fill="E0E7ED"/>
          </w:tcPr>
          <w:p>
            <w:pPr>
              <w:spacing w:after="0"/>
              <w:rPr>
                <w:sz w:val="17"/>
                <w:szCs w:val="17"/>
                <w:color w:val="auto"/>
              </w:rPr>
            </w:pPr>
          </w:p>
        </w:tc>
        <w:tc>
          <w:tcPr>
            <w:tcW w:w="14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21.4 %</w:t>
            </w:r>
          </w:p>
        </w:tc>
      </w:tr>
      <w:tr>
        <w:trPr>
          <w:trHeight w:val="202"/>
        </w:trPr>
        <w:tc>
          <w:tcPr>
            <w:tcW w:w="5300" w:type="dxa"/>
            <w:vAlign w:val="bottom"/>
          </w:tcPr>
          <w:p>
            <w:pPr>
              <w:ind w:left="20"/>
              <w:spacing w:after="0"/>
              <w:rPr>
                <w:sz w:val="20"/>
                <w:szCs w:val="20"/>
                <w:color w:val="auto"/>
              </w:rPr>
            </w:pPr>
            <w:r>
              <w:rPr>
                <w:rFonts w:ascii="Arial" w:cs="Arial" w:eastAsia="Arial" w:hAnsi="Arial"/>
                <w:sz w:val="14"/>
                <w:szCs w:val="14"/>
                <w:color w:val="auto"/>
              </w:rPr>
              <w:t>Average interest-bearing liabilities</w:t>
            </w:r>
          </w:p>
        </w:tc>
        <w:tc>
          <w:tcPr>
            <w:tcW w:w="34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9,627,841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31"/>
              <w:spacing w:after="0"/>
              <w:rPr>
                <w:sz w:val="20"/>
                <w:szCs w:val="20"/>
                <w:color w:val="auto"/>
              </w:rPr>
            </w:pPr>
            <w:r>
              <w:rPr>
                <w:rFonts w:ascii="Arial" w:cs="Arial" w:eastAsia="Arial" w:hAnsi="Arial"/>
                <w:sz w:val="14"/>
                <w:szCs w:val="14"/>
                <w:color w:val="auto"/>
              </w:rPr>
              <w:t>7,831,655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1,796,186</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22.9 %</w:t>
            </w:r>
          </w:p>
        </w:tc>
      </w:tr>
      <w:tr>
        <w:trPr>
          <w:trHeight w:val="222"/>
        </w:trPr>
        <w:tc>
          <w:tcPr>
            <w:tcW w:w="5300" w:type="dxa"/>
            <w:vAlign w:val="bottom"/>
            <w:shd w:val="clear" w:color="auto" w:fill="E0E7ED"/>
          </w:tcPr>
          <w:p>
            <w:pPr>
              <w:ind w:left="20"/>
              <w:spacing w:after="0"/>
              <w:rPr>
                <w:sz w:val="20"/>
                <w:szCs w:val="20"/>
                <w:color w:val="auto"/>
              </w:rPr>
            </w:pPr>
            <w:r>
              <w:rPr>
                <w:rFonts w:ascii="Arial" w:cs="Arial" w:eastAsia="Arial" w:hAnsi="Arial"/>
                <w:sz w:val="14"/>
                <w:szCs w:val="14"/>
                <w:color w:val="auto"/>
              </w:rPr>
              <w:t>Average noninterest-bearing deposits</w:t>
            </w: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jc w:val="right"/>
              <w:ind w:right="112"/>
              <w:spacing w:after="0"/>
              <w:rPr>
                <w:sz w:val="20"/>
                <w:szCs w:val="20"/>
                <w:color w:val="auto"/>
              </w:rPr>
            </w:pPr>
            <w:r>
              <w:rPr>
                <w:rFonts w:ascii="Arial" w:cs="Arial" w:eastAsia="Arial" w:hAnsi="Arial"/>
                <w:sz w:val="14"/>
                <w:szCs w:val="14"/>
                <w:color w:val="auto"/>
              </w:rPr>
              <w:t>3,036,127</w:t>
            </w:r>
          </w:p>
        </w:tc>
        <w:tc>
          <w:tcPr>
            <w:tcW w:w="8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jc w:val="right"/>
              <w:ind w:right="131"/>
              <w:spacing w:after="0"/>
              <w:rPr>
                <w:sz w:val="20"/>
                <w:szCs w:val="20"/>
                <w:color w:val="auto"/>
              </w:rPr>
            </w:pPr>
            <w:r>
              <w:rPr>
                <w:rFonts w:ascii="Arial" w:cs="Arial" w:eastAsia="Arial" w:hAnsi="Arial"/>
                <w:sz w:val="14"/>
                <w:szCs w:val="14"/>
                <w:color w:val="auto"/>
              </w:rPr>
              <w:t>2,708,586</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327,541</w:t>
            </w:r>
          </w:p>
        </w:tc>
        <w:tc>
          <w:tcPr>
            <w:tcW w:w="80" w:type="dxa"/>
            <w:vAlign w:val="bottom"/>
            <w:shd w:val="clear" w:color="auto" w:fill="E0E7ED"/>
          </w:tcPr>
          <w:p>
            <w:pPr>
              <w:spacing w:after="0"/>
              <w:rPr>
                <w:sz w:val="19"/>
                <w:szCs w:val="19"/>
                <w:color w:val="auto"/>
              </w:rPr>
            </w:pP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12.1 %</w:t>
            </w:r>
          </w:p>
        </w:tc>
      </w:tr>
      <w:tr>
        <w:trPr>
          <w:trHeight w:val="212"/>
        </w:trPr>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530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average deposits</w:t>
            </w: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12"/>
              <w:spacing w:after="0"/>
              <w:rPr>
                <w:sz w:val="20"/>
                <w:szCs w:val="20"/>
                <w:color w:val="auto"/>
              </w:rPr>
            </w:pPr>
            <w:r>
              <w:rPr>
                <w:rFonts w:ascii="Arial" w:cs="Arial" w:eastAsia="Arial" w:hAnsi="Arial"/>
                <w:sz w:val="14"/>
                <w:szCs w:val="14"/>
                <w:color w:val="auto"/>
              </w:rPr>
              <w:t>12,178,908</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31"/>
              <w:spacing w:after="0"/>
              <w:rPr>
                <w:sz w:val="20"/>
                <w:szCs w:val="20"/>
                <w:color w:val="auto"/>
              </w:rPr>
            </w:pPr>
            <w:r>
              <w:rPr>
                <w:rFonts w:ascii="Arial" w:cs="Arial" w:eastAsia="Arial" w:hAnsi="Arial"/>
                <w:sz w:val="14"/>
                <w:szCs w:val="14"/>
                <w:color w:val="auto"/>
              </w:rPr>
              <w:t>10,038,691</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2,140,217</w:t>
            </w:r>
          </w:p>
        </w:tc>
        <w:tc>
          <w:tcPr>
            <w:tcW w:w="80" w:type="dxa"/>
            <w:vAlign w:val="bottom"/>
            <w:shd w:val="clear" w:color="auto" w:fill="E0E7ED"/>
          </w:tcPr>
          <w:p>
            <w:pPr>
              <w:spacing w:after="0"/>
              <w:rPr>
                <w:sz w:val="18"/>
                <w:szCs w:val="18"/>
                <w:color w:val="auto"/>
              </w:rPr>
            </w:pP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21.3 %</w:t>
            </w:r>
          </w:p>
        </w:tc>
      </w:tr>
      <w:tr>
        <w:trPr>
          <w:trHeight w:val="202"/>
        </w:trPr>
        <w:tc>
          <w:tcPr>
            <w:tcW w:w="5300" w:type="dxa"/>
            <w:vAlign w:val="bottom"/>
          </w:tcPr>
          <w:p>
            <w:pPr>
              <w:ind w:left="20"/>
              <w:spacing w:after="0"/>
              <w:rPr>
                <w:sz w:val="20"/>
                <w:szCs w:val="20"/>
                <w:color w:val="auto"/>
              </w:rPr>
            </w:pPr>
            <w:r>
              <w:rPr>
                <w:rFonts w:ascii="Arial" w:cs="Arial" w:eastAsia="Arial" w:hAnsi="Arial"/>
                <w:sz w:val="14"/>
                <w:szCs w:val="14"/>
                <w:color w:val="auto"/>
              </w:rPr>
              <w:t>Total average liabilities</w:t>
            </w:r>
          </w:p>
        </w:tc>
        <w:tc>
          <w:tcPr>
            <w:tcW w:w="34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12,896,222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31"/>
              <w:spacing w:after="0"/>
              <w:rPr>
                <w:sz w:val="20"/>
                <w:szCs w:val="20"/>
                <w:color w:val="auto"/>
              </w:rPr>
            </w:pPr>
            <w:r>
              <w:rPr>
                <w:rFonts w:ascii="Arial" w:cs="Arial" w:eastAsia="Arial" w:hAnsi="Arial"/>
                <w:sz w:val="14"/>
                <w:szCs w:val="14"/>
                <w:color w:val="auto"/>
              </w:rPr>
              <w:t>10,748,484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2,147,738</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20.0 %</w:t>
            </w:r>
          </w:p>
        </w:tc>
      </w:tr>
      <w:tr>
        <w:trPr>
          <w:trHeight w:val="222"/>
        </w:trPr>
        <w:tc>
          <w:tcPr>
            <w:tcW w:w="53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440" w:type="dxa"/>
            <w:vAlign w:val="bottom"/>
            <w:shd w:val="clear" w:color="auto" w:fill="E0E7ED"/>
          </w:tcPr>
          <w:p>
            <w:pPr>
              <w:spacing w:after="0"/>
              <w:rPr>
                <w:sz w:val="19"/>
                <w:szCs w:val="19"/>
                <w:color w:val="auto"/>
              </w:rPr>
            </w:pPr>
          </w:p>
        </w:tc>
      </w:tr>
      <w:tr>
        <w:trPr>
          <w:trHeight w:val="202"/>
        </w:trPr>
        <w:tc>
          <w:tcPr>
            <w:tcW w:w="5300" w:type="dxa"/>
            <w:vAlign w:val="bottom"/>
          </w:tcPr>
          <w:p>
            <w:pPr>
              <w:ind w:left="20"/>
              <w:spacing w:after="0"/>
              <w:rPr>
                <w:sz w:val="20"/>
                <w:szCs w:val="20"/>
                <w:color w:val="auto"/>
              </w:rPr>
            </w:pPr>
            <w:r>
              <w:rPr>
                <w:rFonts w:ascii="Arial" w:cs="Arial" w:eastAsia="Arial" w:hAnsi="Arial"/>
                <w:sz w:val="14"/>
                <w:szCs w:val="14"/>
                <w:color w:val="auto"/>
              </w:rPr>
              <w:t>Average noninterest-bearing deposits as a percent of total average deposits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24.9 %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27.0 %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(210) bps</w:t>
            </w:r>
          </w:p>
        </w:tc>
        <w:tc>
          <w:tcPr>
            <w:tcW w:w="1440" w:type="dxa"/>
            <w:vAlign w:val="bottom"/>
          </w:tcPr>
          <w:p>
            <w:pPr>
              <w:spacing w:after="0"/>
              <w:rPr>
                <w:sz w:val="17"/>
                <w:szCs w:val="17"/>
                <w:color w:val="auto"/>
              </w:rPr>
            </w:pPr>
          </w:p>
        </w:tc>
      </w:tr>
      <w:tr>
        <w:trPr>
          <w:trHeight w:val="222"/>
        </w:trPr>
        <w:tc>
          <w:tcPr>
            <w:tcW w:w="530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average deposits as a percent of total average liabilities</w:t>
            </w: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94.4 %</w:t>
            </w:r>
          </w:p>
        </w:tc>
        <w:tc>
          <w:tcPr>
            <w:tcW w:w="8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93.4 %</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140" w:type="dxa"/>
            <w:vAlign w:val="bottom"/>
            <w:gridSpan w:val="2"/>
            <w:shd w:val="clear" w:color="auto" w:fill="E0E7ED"/>
          </w:tcPr>
          <w:p>
            <w:pPr>
              <w:jc w:val="right"/>
              <w:ind w:right="100"/>
              <w:spacing w:after="0"/>
              <w:rPr>
                <w:sz w:val="20"/>
                <w:szCs w:val="20"/>
                <w:color w:val="auto"/>
              </w:rPr>
            </w:pPr>
            <w:r>
              <w:rPr>
                <w:rFonts w:ascii="Arial" w:cs="Arial" w:eastAsia="Arial" w:hAnsi="Arial"/>
                <w:sz w:val="14"/>
                <w:szCs w:val="14"/>
                <w:color w:val="auto"/>
              </w:rPr>
              <w:t>100 bps</w:t>
            </w:r>
          </w:p>
        </w:tc>
        <w:tc>
          <w:tcPr>
            <w:tcW w:w="1440" w:type="dxa"/>
            <w:vAlign w:val="bottom"/>
            <w:shd w:val="clear" w:color="auto" w:fill="E0E7ED"/>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Changes in net interest income and net interest margin are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gridSpan w:val="5"/>
          </w:tcPr>
          <w:p>
            <w:pPr>
              <w:ind w:left="320"/>
              <w:spacing w:after="0"/>
              <w:rPr>
                <w:sz w:val="20"/>
                <w:szCs w:val="20"/>
                <w:color w:val="auto"/>
              </w:rPr>
            </w:pPr>
            <w:r>
              <w:rPr>
                <w:rFonts w:ascii="Arial" w:cs="Arial" w:eastAsia="Arial" w:hAnsi="Arial"/>
                <w:sz w:val="11"/>
                <w:szCs w:val="11"/>
                <w:b w:val="1"/>
                <w:bCs w:val="1"/>
                <w:color w:val="auto"/>
              </w:rPr>
              <w:t>Three Months Ended March 31,</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39"/>
        </w:trPr>
        <w:tc>
          <w:tcPr>
            <w:tcW w:w="534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E0E7ED"/>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E0E7ED"/>
            </w:tcBorders>
          </w:tcPr>
          <w:p>
            <w:pPr>
              <w:spacing w:after="0"/>
              <w:rPr>
                <w:sz w:val="12"/>
                <w:szCs w:val="12"/>
                <w:color w:val="auto"/>
              </w:rPr>
            </w:pPr>
          </w:p>
        </w:tc>
        <w:tc>
          <w:tcPr>
            <w:tcW w:w="14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 Change</w:t>
            </w:r>
          </w:p>
        </w:tc>
      </w:tr>
      <w:tr>
        <w:trPr>
          <w:trHeight w:val="192"/>
        </w:trPr>
        <w:tc>
          <w:tcPr>
            <w:tcW w:w="53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34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60" w:type="dxa"/>
            <w:vAlign w:val="bottom"/>
            <w:shd w:val="clear" w:color="auto" w:fill="E0E7ED"/>
          </w:tcPr>
          <w:p>
            <w:pPr>
              <w:spacing w:after="0"/>
              <w:rPr>
                <w:sz w:val="16"/>
                <w:szCs w:val="16"/>
                <w:color w:val="auto"/>
              </w:rPr>
            </w:pPr>
          </w:p>
        </w:tc>
      </w:tr>
      <w:tr>
        <w:trPr>
          <w:trHeight w:val="212"/>
        </w:trPr>
        <w:tc>
          <w:tcPr>
            <w:tcW w:w="5340" w:type="dxa"/>
            <w:vAlign w:val="bottom"/>
          </w:tcPr>
          <w:p>
            <w:pPr>
              <w:ind w:left="140"/>
              <w:spacing w:after="0"/>
              <w:rPr>
                <w:sz w:val="20"/>
                <w:szCs w:val="20"/>
                <w:color w:val="auto"/>
              </w:rPr>
            </w:pPr>
            <w:r>
              <w:rPr>
                <w:rFonts w:ascii="Arial" w:cs="Arial" w:eastAsia="Arial" w:hAnsi="Arial"/>
                <w:sz w:val="14"/>
                <w:szCs w:val="14"/>
                <w:color w:val="auto"/>
              </w:rPr>
              <w:t>Interest income, on a tax-equivalent basis</w:t>
            </w:r>
            <w:r>
              <w:rPr>
                <w:rFonts w:ascii="Arial" w:cs="Arial" w:eastAsia="Arial" w:hAnsi="Arial"/>
                <w:sz w:val="18"/>
                <w:szCs w:val="18"/>
                <w:color w:val="auto"/>
                <w:vertAlign w:val="superscript"/>
              </w:rPr>
              <w:t>1</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14"/>
              <w:spacing w:after="0"/>
              <w:rPr>
                <w:sz w:val="20"/>
                <w:szCs w:val="20"/>
                <w:color w:val="auto"/>
              </w:rPr>
            </w:pPr>
            <w:r>
              <w:rPr>
                <w:rFonts w:ascii="Arial" w:cs="Arial" w:eastAsia="Arial" w:hAnsi="Arial"/>
                <w:sz w:val="14"/>
                <w:szCs w:val="14"/>
                <w:color w:val="auto"/>
              </w:rPr>
              <w:t>167,352</w:t>
            </w:r>
          </w:p>
        </w:tc>
        <w:tc>
          <w:tcPr>
            <w:tcW w:w="80" w:type="dxa"/>
            <w:vAlign w:val="bottom"/>
          </w:tcPr>
          <w:p>
            <w:pPr>
              <w:spacing w:after="0"/>
              <w:rPr>
                <w:sz w:val="18"/>
                <w:szCs w:val="18"/>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2"/>
              <w:spacing w:after="0"/>
              <w:rPr>
                <w:sz w:val="20"/>
                <w:szCs w:val="20"/>
                <w:color w:val="auto"/>
              </w:rPr>
            </w:pPr>
            <w:r>
              <w:rPr>
                <w:rFonts w:ascii="Arial" w:cs="Arial" w:eastAsia="Arial" w:hAnsi="Arial"/>
                <w:sz w:val="14"/>
                <w:szCs w:val="14"/>
                <w:color w:val="auto"/>
              </w:rPr>
              <w:t>126,269</w:t>
            </w:r>
          </w:p>
        </w:tc>
        <w:tc>
          <w:tcPr>
            <w:tcW w:w="80" w:type="dxa"/>
            <w:vAlign w:val="bottom"/>
          </w:tcPr>
          <w:p>
            <w:pPr>
              <w:spacing w:after="0"/>
              <w:rPr>
                <w:sz w:val="18"/>
                <w:szCs w:val="18"/>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432"/>
              <w:spacing w:after="0"/>
              <w:rPr>
                <w:sz w:val="20"/>
                <w:szCs w:val="20"/>
                <w:color w:val="auto"/>
              </w:rPr>
            </w:pPr>
            <w:r>
              <w:rPr>
                <w:rFonts w:ascii="Arial" w:cs="Arial" w:eastAsia="Arial" w:hAnsi="Arial"/>
                <w:sz w:val="14"/>
                <w:szCs w:val="14"/>
                <w:color w:val="auto"/>
                <w:w w:val="97"/>
              </w:rPr>
              <w:t>41,083</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32.5 %</w:t>
            </w:r>
          </w:p>
        </w:tc>
      </w:tr>
      <w:tr>
        <w:trPr>
          <w:trHeight w:val="203"/>
        </w:trPr>
        <w:tc>
          <w:tcPr>
            <w:tcW w:w="53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shd w:val="clear" w:color="auto" w:fill="E0E7ED"/>
          </w:tcPr>
          <w:p>
            <w:pPr>
              <w:spacing w:after="0"/>
              <w:rPr>
                <w:sz w:val="17"/>
                <w:szCs w:val="17"/>
                <w:color w:val="auto"/>
              </w:rPr>
            </w:pPr>
          </w:p>
        </w:tc>
        <w:tc>
          <w:tcPr>
            <w:tcW w:w="1100" w:type="dxa"/>
            <w:vAlign w:val="bottom"/>
            <w:tcBorders>
              <w:bottom w:val="single" w:sz="8" w:color="auto"/>
            </w:tcBorders>
            <w:shd w:val="clear" w:color="auto" w:fill="E0E7ED"/>
          </w:tcPr>
          <w:p>
            <w:pPr>
              <w:jc w:val="right"/>
              <w:ind w:right="74"/>
              <w:spacing w:after="0"/>
              <w:rPr>
                <w:sz w:val="20"/>
                <w:szCs w:val="20"/>
                <w:color w:val="auto"/>
              </w:rPr>
            </w:pPr>
            <w:r>
              <w:rPr>
                <w:rFonts w:ascii="Arial" w:cs="Arial" w:eastAsia="Arial" w:hAnsi="Arial"/>
                <w:sz w:val="14"/>
                <w:szCs w:val="14"/>
                <w:color w:val="auto"/>
              </w:rPr>
              <w:t>(63,084)</w:t>
            </w:r>
          </w:p>
        </w:tc>
        <w:tc>
          <w:tcPr>
            <w:tcW w:w="8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1120" w:type="dxa"/>
            <w:vAlign w:val="bottom"/>
            <w:tcBorders>
              <w:bottom w:val="single" w:sz="8" w:color="auto"/>
            </w:tcBorders>
            <w:shd w:val="clear" w:color="auto" w:fill="E0E7ED"/>
          </w:tcPr>
          <w:p>
            <w:pPr>
              <w:jc w:val="right"/>
              <w:ind w:right="92"/>
              <w:spacing w:after="0"/>
              <w:rPr>
                <w:sz w:val="20"/>
                <w:szCs w:val="20"/>
                <w:color w:val="auto"/>
              </w:rPr>
            </w:pPr>
            <w:r>
              <w:rPr>
                <w:rFonts w:ascii="Arial" w:cs="Arial" w:eastAsia="Arial" w:hAnsi="Arial"/>
                <w:sz w:val="14"/>
                <w:szCs w:val="14"/>
                <w:color w:val="auto"/>
              </w:rPr>
              <w:t>(49,966)</w:t>
            </w:r>
          </w:p>
        </w:tc>
        <w:tc>
          <w:tcPr>
            <w:tcW w:w="80" w:type="dxa"/>
            <w:vAlign w:val="bottom"/>
            <w:shd w:val="clear" w:color="auto" w:fill="E0E7ED"/>
          </w:tcPr>
          <w:p>
            <w:pPr>
              <w:spacing w:after="0"/>
              <w:rPr>
                <w:sz w:val="17"/>
                <w:szCs w:val="17"/>
                <w:color w:val="auto"/>
              </w:rPr>
            </w:pPr>
          </w:p>
        </w:tc>
        <w:tc>
          <w:tcPr>
            <w:tcW w:w="280" w:type="dxa"/>
            <w:vAlign w:val="bottom"/>
            <w:tcBorders>
              <w:bottom w:val="single" w:sz="8" w:color="auto"/>
            </w:tcBorders>
            <w:shd w:val="clear" w:color="auto" w:fill="E0E7ED"/>
          </w:tcPr>
          <w:p>
            <w:pPr>
              <w:spacing w:after="0"/>
              <w:rPr>
                <w:sz w:val="17"/>
                <w:szCs w:val="17"/>
                <w:color w:val="auto"/>
              </w:rPr>
            </w:pPr>
          </w:p>
        </w:tc>
        <w:tc>
          <w:tcPr>
            <w:tcW w:w="1040" w:type="dxa"/>
            <w:vAlign w:val="bottom"/>
            <w:tcBorders>
              <w:bottom w:val="single" w:sz="8" w:color="auto"/>
            </w:tcBorders>
            <w:shd w:val="clear" w:color="auto" w:fill="E0E7ED"/>
          </w:tcPr>
          <w:p>
            <w:pPr>
              <w:jc w:val="center"/>
              <w:ind w:left="412"/>
              <w:spacing w:after="0"/>
              <w:rPr>
                <w:sz w:val="20"/>
                <w:szCs w:val="20"/>
                <w:color w:val="auto"/>
              </w:rPr>
            </w:pPr>
            <w:r>
              <w:rPr>
                <w:rFonts w:ascii="Arial" w:cs="Arial" w:eastAsia="Arial" w:hAnsi="Arial"/>
                <w:sz w:val="14"/>
                <w:szCs w:val="14"/>
                <w:color w:val="auto"/>
                <w:w w:val="99"/>
              </w:rPr>
              <w:t>(13,118)</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(26.3)%</w:t>
            </w:r>
          </w:p>
        </w:tc>
      </w:tr>
      <w:tr>
        <w:trPr>
          <w:trHeight w:val="212"/>
        </w:trPr>
        <w:tc>
          <w:tcPr>
            <w:tcW w:w="5340" w:type="dxa"/>
            <w:vAlign w:val="bottom"/>
          </w:tcPr>
          <w:p>
            <w:pPr>
              <w:ind w:left="20"/>
              <w:spacing w:after="0"/>
              <w:rPr>
                <w:sz w:val="20"/>
                <w:szCs w:val="20"/>
                <w:color w:val="auto"/>
              </w:rPr>
            </w:pPr>
            <w:r>
              <w:rPr>
                <w:rFonts w:ascii="Arial" w:cs="Arial" w:eastAsia="Arial" w:hAnsi="Arial"/>
                <w:sz w:val="14"/>
                <w:szCs w:val="14"/>
                <w:color w:val="auto"/>
              </w:rPr>
              <w:t>Net interest income, on a tax-equivalent basis</w:t>
            </w:r>
            <w:r>
              <w:rPr>
                <w:rFonts w:ascii="Arial" w:cs="Arial" w:eastAsia="Arial" w:hAnsi="Arial"/>
                <w:sz w:val="18"/>
                <w:szCs w:val="18"/>
                <w:color w:val="auto"/>
                <w:vertAlign w:val="superscript"/>
              </w:rPr>
              <w:t>1</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104,268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76,303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center"/>
              <w:ind w:left="432"/>
              <w:spacing w:after="0"/>
              <w:rPr>
                <w:sz w:val="20"/>
                <w:szCs w:val="20"/>
                <w:color w:val="auto"/>
              </w:rPr>
            </w:pPr>
            <w:r>
              <w:rPr>
                <w:rFonts w:ascii="Arial" w:cs="Arial" w:eastAsia="Arial" w:hAnsi="Arial"/>
                <w:sz w:val="14"/>
                <w:szCs w:val="14"/>
                <w:color w:val="auto"/>
                <w:w w:val="97"/>
              </w:rPr>
              <w:t>27,965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36.6 %</w:t>
            </w:r>
          </w:p>
        </w:tc>
      </w:tr>
      <w:tr>
        <w:trPr>
          <w:trHeight w:val="20"/>
        </w:trPr>
        <w:tc>
          <w:tcPr>
            <w:tcW w:w="534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460" w:type="dxa"/>
            <w:vAlign w:val="bottom"/>
            <w:tcBorders>
              <w:bottom w:val="single" w:sz="8" w:color="E0E7ED"/>
            </w:tcBorders>
          </w:tcPr>
          <w:p>
            <w:pPr>
              <w:spacing w:after="0" w:line="20" w:lineRule="exact"/>
              <w:rPr>
                <w:sz w:val="1"/>
                <w:szCs w:val="1"/>
                <w:color w:val="auto"/>
              </w:rPr>
            </w:pPr>
          </w:p>
        </w:tc>
      </w:tr>
      <w:tr>
        <w:trPr>
          <w:trHeight w:val="173"/>
        </w:trPr>
        <w:tc>
          <w:tcPr>
            <w:tcW w:w="534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1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8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60" w:type="dxa"/>
            <w:vAlign w:val="bottom"/>
            <w:shd w:val="clear" w:color="auto" w:fill="E0E7ED"/>
          </w:tcPr>
          <w:p>
            <w:pPr>
              <w:spacing w:after="0"/>
              <w:rPr>
                <w:sz w:val="15"/>
                <w:szCs w:val="15"/>
                <w:color w:val="auto"/>
              </w:rPr>
            </w:pPr>
          </w:p>
        </w:tc>
      </w:tr>
      <w:tr>
        <w:trPr>
          <w:trHeight w:val="259"/>
        </w:trPr>
        <w:tc>
          <w:tcPr>
            <w:tcW w:w="5340" w:type="dxa"/>
            <w:vAlign w:val="bottom"/>
          </w:tcPr>
          <w:p>
            <w:pPr>
              <w:ind w:left="2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1, 2</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3.16 %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2.79 %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ind w:left="600"/>
              <w:spacing w:after="0"/>
              <w:rPr>
                <w:sz w:val="20"/>
                <w:szCs w:val="20"/>
                <w:color w:val="auto"/>
              </w:rPr>
            </w:pPr>
            <w:r>
              <w:rPr>
                <w:rFonts w:ascii="Arial" w:cs="Arial" w:eastAsia="Arial" w:hAnsi="Arial"/>
                <w:sz w:val="14"/>
                <w:szCs w:val="14"/>
                <w:color w:val="auto"/>
                <w:w w:val="99"/>
              </w:rPr>
              <w:t>37 bps</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169"/>
        </w:trPr>
        <w:tc>
          <w:tcPr>
            <w:tcW w:w="5340" w:type="dxa"/>
            <w:vAlign w:val="bottom"/>
          </w:tcPr>
          <w:p>
            <w:pPr>
              <w:spacing w:after="0"/>
              <w:rPr>
                <w:sz w:val="20"/>
                <w:szCs w:val="20"/>
                <w:color w:val="auto"/>
              </w:rPr>
            </w:pPr>
            <w:r>
              <w:rPr>
                <w:rFonts w:ascii="Arial" w:cs="Arial" w:eastAsia="Arial" w:hAnsi="Arial"/>
                <w:sz w:val="11"/>
                <w:szCs w:val="11"/>
                <w:color w:val="auto"/>
              </w:rPr>
              <w:t>___________________________________________</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ind w:left="380" w:hanging="248"/>
        <w:spacing w:after="0" w:line="251" w:lineRule="auto"/>
        <w:tabs>
          <w:tab w:leader="none" w:pos="4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 xml:space="preserve">Assuming a federal income tax rate of 21.0%. For a reconciliation of non-GAAP measures to the most directly comparable GAAP financial measures, see </w:t>
      </w:r>
      <w:r>
        <w:rPr>
          <w:rFonts w:ascii="Arial" w:cs="Arial" w:eastAsia="Arial" w:hAnsi="Arial"/>
          <w:sz w:val="11"/>
          <w:szCs w:val="11"/>
          <w:i w:val="1"/>
          <w:iCs w:val="1"/>
          <w:color w:val="auto"/>
        </w:rPr>
        <w:t>“</w:t>
      </w:r>
      <w:r>
        <w:rPr>
          <w:rFonts w:ascii="Arial" w:cs="Arial" w:eastAsia="Arial" w:hAnsi="Arial"/>
          <w:sz w:val="11"/>
          <w:szCs w:val="11"/>
          <w:i w:val="1"/>
          <w:iCs w:val="1"/>
          <w:u w:val="single" w:color="auto"/>
          <w:color w:val="0000FF"/>
        </w:rPr>
        <w:t>Item 2. Management’s Discussion and Analysis—Non-GAAP</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0000FF"/>
        </w:rPr>
        <w:t>Financial Information</w:t>
      </w:r>
      <w:r>
        <w:rPr>
          <w:rFonts w:ascii="Arial" w:cs="Arial" w:eastAsia="Arial" w:hAnsi="Arial"/>
          <w:sz w:val="11"/>
          <w:szCs w:val="11"/>
          <w:i w:val="1"/>
          <w:iCs w:val="1"/>
          <w:color w:val="000000"/>
        </w:rPr>
        <w:t>”</w:t>
      </w:r>
      <w:r>
        <w:rPr>
          <w:rFonts w:ascii="Arial" w:cs="Arial" w:eastAsia="Arial" w:hAnsi="Arial"/>
          <w:sz w:val="11"/>
          <w:szCs w:val="11"/>
          <w:i w:val="1"/>
          <w:iCs w:val="1"/>
          <w:color w:val="0000FF"/>
        </w:rPr>
        <w:t xml:space="preserve"> </w:t>
      </w:r>
      <w:r>
        <w:rPr>
          <w:rFonts w:ascii="Arial" w:cs="Arial" w:eastAsia="Arial" w:hAnsi="Arial"/>
          <w:sz w:val="11"/>
          <w:szCs w:val="11"/>
          <w:color w:val="000000"/>
        </w:rPr>
        <w:t>included in this Quarterly Report.</w:t>
      </w:r>
    </w:p>
    <w:p>
      <w:pPr>
        <w:ind w:left="380" w:hanging="248"/>
        <w:spacing w:after="0"/>
        <w:tabs>
          <w:tab w:leader="none" w:pos="3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Net interest income expressed as a percentage of average earning assets, stated on a tax-equivalent basis.</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Busey continues to evaluate and execute off-balance sheet hedging and balance sheet repositioning strategies as well as embedding rate protection in its asset originations to provide stabilization to net interest income in lower rate environments. Time deposit and savings specials have provided funding flows, and Busey had excess earning cash during the first quarter of 2025. A portion of the acquired CrossFirst Bank securities portfolio was liquidated when the acquisition was finalized, providing additional excess cash that will allow Busey to pay down non-core funding. As brokered CDs mature, Busey will continue to deploy excess cash to reduce wholesale funding levels.</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interest spread represents the difference between the average rate earned on earning assets and the average rate paid on interest-bearing liabilities, and is presented in the table below:</w:t>
      </w:r>
    </w:p>
    <w:p>
      <w:pPr>
        <w:spacing w:after="0" w:line="129" w:lineRule="exact"/>
        <w:rPr>
          <w:sz w:val="20"/>
          <w:szCs w:val="20"/>
          <w:color w:val="auto"/>
        </w:rPr>
      </w:pPr>
    </w:p>
    <w:p>
      <w:pPr>
        <w:ind w:left="8940"/>
        <w:spacing w:after="0"/>
        <w:rPr>
          <w:sz w:val="20"/>
          <w:szCs w:val="20"/>
          <w:color w:val="auto"/>
        </w:rPr>
      </w:pPr>
      <w:r>
        <w:rPr>
          <w:rFonts w:ascii="Arial" w:cs="Arial" w:eastAsia="Arial" w:hAnsi="Arial"/>
          <w:sz w:val="11"/>
          <w:szCs w:val="11"/>
          <w:b w:val="1"/>
          <w:bCs w:val="1"/>
          <w:color w:val="auto"/>
        </w:rPr>
        <w:t>Three Months Ended 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240" w:type="dxa"/>
            <w:vAlign w:val="bottom"/>
            <w:tcBorders>
              <w:bottom w:val="single" w:sz="8" w:color="E0E7ED"/>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E0E7ED"/>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2024</w:t>
            </w:r>
          </w:p>
        </w:tc>
      </w:tr>
      <w:tr>
        <w:trPr>
          <w:trHeight w:val="203"/>
        </w:trPr>
        <w:tc>
          <w:tcPr>
            <w:tcW w:w="9180" w:type="dxa"/>
            <w:vAlign w:val="bottom"/>
            <w:gridSpan w:val="2"/>
            <w:shd w:val="clear" w:color="auto" w:fill="E0E7ED"/>
          </w:tcPr>
          <w:p>
            <w:pPr>
              <w:jc w:val="right"/>
              <w:ind w:right="7863"/>
              <w:spacing w:after="0" w:line="203" w:lineRule="exact"/>
              <w:rPr>
                <w:sz w:val="20"/>
                <w:szCs w:val="20"/>
                <w:color w:val="auto"/>
              </w:rPr>
            </w:pPr>
            <w:r>
              <w:rPr>
                <w:rFonts w:ascii="Arial" w:cs="Arial" w:eastAsia="Arial" w:hAnsi="Arial"/>
                <w:sz w:val="14"/>
                <w:szCs w:val="14"/>
                <w:color w:val="auto"/>
                <w:w w:val="99"/>
              </w:rPr>
              <w:t>Net interest spread</w:t>
            </w:r>
            <w:r>
              <w:rPr>
                <w:rFonts w:ascii="Arial" w:cs="Arial" w:eastAsia="Arial" w:hAnsi="Arial"/>
                <w:sz w:val="18"/>
                <w:szCs w:val="18"/>
                <w:color w:val="auto"/>
                <w:w w:val="99"/>
                <w:vertAlign w:val="superscript"/>
              </w:rPr>
              <w:t>1</w:t>
            </w:r>
          </w:p>
        </w:tc>
        <w:tc>
          <w:tcPr>
            <w:tcW w:w="5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2.42 %</w:t>
            </w:r>
          </w:p>
        </w:tc>
        <w:tc>
          <w:tcPr>
            <w:tcW w:w="80" w:type="dxa"/>
            <w:vAlign w:val="bottom"/>
            <w:shd w:val="clear" w:color="auto" w:fill="E0E7ED"/>
          </w:tcPr>
          <w:p>
            <w:pPr>
              <w:spacing w:after="0"/>
              <w:rPr>
                <w:sz w:val="17"/>
                <w:szCs w:val="17"/>
                <w:color w:val="auto"/>
              </w:rPr>
            </w:pPr>
          </w:p>
        </w:tc>
        <w:tc>
          <w:tcPr>
            <w:tcW w:w="14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2.04 %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Net interest spread is calculated on a tax-equivalent basis.</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73" w:name="page74"/>
    <w:bookmarkEnd w:id="73"/>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Annualized net interest margins for the quarterly periods indicated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240" w:type="dxa"/>
            <w:vAlign w:val="bottom"/>
            <w:tcBorders>
              <w:bottom w:val="single" w:sz="8" w:color="E0E7ED"/>
            </w:tcBorders>
          </w:tcPr>
          <w:p>
            <w:pPr>
              <w:spacing w:after="0"/>
              <w:rPr>
                <w:sz w:val="12"/>
                <w:szCs w:val="12"/>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E0E7ED"/>
            </w:tcBorders>
          </w:tcPr>
          <w:p>
            <w:pPr>
              <w:spacing w:after="0"/>
              <w:rPr>
                <w:sz w:val="12"/>
                <w:szCs w:val="12"/>
                <w:color w:val="auto"/>
              </w:rPr>
            </w:pPr>
          </w:p>
        </w:tc>
        <w:tc>
          <w:tcPr>
            <w:tcW w:w="14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2024</w:t>
            </w:r>
          </w:p>
        </w:tc>
      </w:tr>
      <w:tr>
        <w:trPr>
          <w:trHeight w:val="203"/>
        </w:trPr>
        <w:tc>
          <w:tcPr>
            <w:tcW w:w="918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First Quarter</w:t>
            </w:r>
          </w:p>
        </w:tc>
        <w:tc>
          <w:tcPr>
            <w:tcW w:w="5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3.16 %</w:t>
            </w:r>
          </w:p>
        </w:tc>
        <w:tc>
          <w:tcPr>
            <w:tcW w:w="80" w:type="dxa"/>
            <w:vAlign w:val="bottom"/>
            <w:shd w:val="clear" w:color="auto" w:fill="E0E7ED"/>
          </w:tcPr>
          <w:p>
            <w:pPr>
              <w:spacing w:after="0"/>
              <w:rPr>
                <w:sz w:val="17"/>
                <w:szCs w:val="17"/>
                <w:color w:val="auto"/>
              </w:rPr>
            </w:pPr>
          </w:p>
        </w:tc>
        <w:tc>
          <w:tcPr>
            <w:tcW w:w="14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2.79 %</w:t>
            </w:r>
          </w:p>
        </w:tc>
      </w:tr>
      <w:tr>
        <w:trPr>
          <w:trHeight w:val="202"/>
        </w:trPr>
        <w:tc>
          <w:tcPr>
            <w:tcW w:w="9180" w:type="dxa"/>
            <w:vAlign w:val="bottom"/>
            <w:gridSpan w:val="2"/>
          </w:tcPr>
          <w:p>
            <w:pPr>
              <w:ind w:left="20"/>
              <w:spacing w:after="0"/>
              <w:rPr>
                <w:sz w:val="20"/>
                <w:szCs w:val="20"/>
                <w:color w:val="auto"/>
              </w:rPr>
            </w:pPr>
            <w:r>
              <w:rPr>
                <w:rFonts w:ascii="Arial" w:cs="Arial" w:eastAsia="Arial" w:hAnsi="Arial"/>
                <w:sz w:val="14"/>
                <w:szCs w:val="14"/>
                <w:color w:val="auto"/>
              </w:rPr>
              <w:t>Second Quarter</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3.03 %</w:t>
            </w:r>
          </w:p>
        </w:tc>
      </w:tr>
      <w:tr>
        <w:trPr>
          <w:trHeight w:val="222"/>
        </w:trPr>
        <w:tc>
          <w:tcPr>
            <w:tcW w:w="918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Third Quarter</w:t>
            </w:r>
          </w:p>
        </w:tc>
        <w:tc>
          <w:tcPr>
            <w:tcW w:w="5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4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3.02 %</w:t>
            </w:r>
          </w:p>
        </w:tc>
      </w:tr>
      <w:tr>
        <w:trPr>
          <w:trHeight w:val="193"/>
        </w:trPr>
        <w:tc>
          <w:tcPr>
            <w:tcW w:w="9180" w:type="dxa"/>
            <w:vAlign w:val="bottom"/>
            <w:gridSpan w:val="2"/>
          </w:tcPr>
          <w:p>
            <w:pPr>
              <w:ind w:left="20"/>
              <w:spacing w:after="0"/>
              <w:rPr>
                <w:sz w:val="20"/>
                <w:szCs w:val="20"/>
                <w:color w:val="auto"/>
              </w:rPr>
            </w:pPr>
            <w:r>
              <w:rPr>
                <w:rFonts w:ascii="Arial" w:cs="Arial" w:eastAsia="Arial" w:hAnsi="Arial"/>
                <w:sz w:val="14"/>
                <w:szCs w:val="14"/>
                <w:color w:val="auto"/>
              </w:rPr>
              <w:t>Fourth Quarter</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2.95 %</w:t>
            </w:r>
          </w:p>
        </w:tc>
      </w:tr>
    </w:tbl>
    <w:p>
      <w:pPr>
        <w:spacing w:after="0" w:line="217" w:lineRule="exact"/>
        <w:rPr>
          <w:sz w:val="20"/>
          <w:szCs w:val="20"/>
          <w:color w:val="auto"/>
        </w:rPr>
      </w:pPr>
    </w:p>
    <w:p>
      <w:pPr>
        <w:jc w:val="both"/>
        <w:spacing w:after="0" w:line="271" w:lineRule="auto"/>
        <w:rPr>
          <w:rFonts w:ascii="Arial" w:cs="Arial" w:eastAsia="Arial" w:hAnsi="Arial"/>
          <w:sz w:val="14"/>
          <w:szCs w:val="14"/>
          <w:color w:val="0000FF"/>
        </w:rPr>
      </w:pPr>
      <w:r>
        <w:rPr>
          <w:rFonts w:ascii="Arial" w:cs="Arial" w:eastAsia="Arial" w:hAnsi="Arial"/>
          <w:sz w:val="14"/>
          <w:szCs w:val="14"/>
          <w:color w:val="auto"/>
        </w:rPr>
        <w:t xml:space="preserve">Management attempts to mitigate the effects of an unpredictable interest-rate environment through effective portfolio management, prudent loan underwriting and pricing discipline, </w:t>
      </w:r>
      <w:hyperlink r:id="rId104">
        <w:r>
          <w:rPr>
            <w:rFonts w:ascii="Arial" w:cs="Arial" w:eastAsia="Arial" w:hAnsi="Arial"/>
            <w:sz w:val="14"/>
            <w:szCs w:val="14"/>
            <w:color w:val="auto"/>
          </w:rPr>
          <w:t xml:space="preserve">and operational efficiencies. For a description of accounting policies underlying the recognition of interest income and expense, refer to the </w:t>
        </w:r>
        <w:r>
          <w:rPr>
            <w:rFonts w:ascii="Arial" w:cs="Arial" w:eastAsia="Arial" w:hAnsi="Arial"/>
            <w:sz w:val="14"/>
            <w:szCs w:val="14"/>
            <w:u w:val="single" w:color="auto"/>
            <w:color w:val="0000FF"/>
          </w:rPr>
          <w:t>Notes to Consolidated Financial</w:t>
        </w:r>
      </w:hyperlink>
      <w:r>
        <w:rPr>
          <w:rFonts w:ascii="Arial" w:cs="Arial" w:eastAsia="Arial" w:hAnsi="Arial"/>
          <w:sz w:val="14"/>
          <w:szCs w:val="14"/>
          <w:color w:val="auto"/>
        </w:rPr>
        <w:t xml:space="preserve"> </w:t>
      </w:r>
      <w:hyperlink r:id="rId104">
        <w:r>
          <w:rPr>
            <w:rFonts w:ascii="Arial" w:cs="Arial" w:eastAsia="Arial" w:hAnsi="Arial"/>
            <w:sz w:val="14"/>
            <w:szCs w:val="14"/>
            <w:u w:val="single" w:color="auto"/>
            <w:color w:val="0000FF"/>
          </w:rPr>
          <w:t>Statements</w:t>
        </w:r>
        <w:r>
          <w:rPr>
            <w:rFonts w:ascii="Arial" w:cs="Arial" w:eastAsia="Arial" w:hAnsi="Arial"/>
            <w:sz w:val="14"/>
            <w:szCs w:val="14"/>
            <w:color w:val="0000FF"/>
          </w:rPr>
          <w:t xml:space="preserve"> </w:t>
        </w:r>
        <w:r>
          <w:rPr>
            <w:rFonts w:ascii="Arial" w:cs="Arial" w:eastAsia="Arial" w:hAnsi="Arial"/>
            <w:sz w:val="14"/>
            <w:szCs w:val="14"/>
            <w:color w:val="000000"/>
          </w:rPr>
          <w:t>in</w:t>
        </w:r>
        <w:r>
          <w:rPr>
            <w:rFonts w:ascii="Arial" w:cs="Arial" w:eastAsia="Arial" w:hAnsi="Arial"/>
            <w:sz w:val="14"/>
            <w:szCs w:val="14"/>
            <w:color w:val="0000FF"/>
          </w:rPr>
          <w:t xml:space="preserve"> </w:t>
        </w:r>
      </w:hyperlink>
      <w:hyperlink r:id="rId90">
        <w:r>
          <w:rPr>
            <w:rFonts w:ascii="Arial" w:cs="Arial" w:eastAsia="Arial" w:hAnsi="Arial"/>
            <w:sz w:val="14"/>
            <w:szCs w:val="14"/>
            <w:u w:val="single" w:color="auto"/>
            <w:color w:val="0000FF"/>
          </w:rPr>
          <w:t>Busey’s 2024 Annual Report</w:t>
        </w:r>
      </w:hyperlink>
      <w:hyperlink r:id="rId104">
        <w:r>
          <w:rPr>
            <w:rFonts w:ascii="Arial" w:cs="Arial" w:eastAsia="Arial" w:hAnsi="Arial"/>
            <w:sz w:val="14"/>
            <w:szCs w:val="14"/>
            <w:color w:val="000000"/>
          </w:rPr>
          <w:t>.</w:t>
        </w:r>
      </w:hyperlink>
    </w:p>
    <w:p>
      <w:pPr>
        <w:spacing w:after="0" w:line="104" w:lineRule="exact"/>
        <w:rPr>
          <w:rFonts w:ascii="Arial" w:cs="Arial" w:eastAsia="Arial" w:hAnsi="Arial"/>
          <w:sz w:val="14"/>
          <w:szCs w:val="14"/>
          <w:color w:val="0000FF"/>
        </w:rPr>
      </w:pPr>
    </w:p>
    <w:p>
      <w:pPr>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45" w:lineRule="exact"/>
        <w:rPr>
          <w:rFonts w:ascii="Arial" w:cs="Arial" w:eastAsia="Arial" w:hAnsi="Arial"/>
          <w:sz w:val="14"/>
          <w:szCs w:val="14"/>
          <w:color w:val="0000FF"/>
        </w:rPr>
      </w:pPr>
    </w:p>
    <w:p>
      <w:pPr>
        <w:spacing w:after="0"/>
        <w:rPr>
          <w:sz w:val="20"/>
          <w:szCs w:val="20"/>
          <w:color w:val="auto"/>
        </w:rPr>
      </w:pPr>
      <w:r>
        <w:rPr>
          <w:rFonts w:ascii="Arial" w:cs="Arial" w:eastAsia="Arial" w:hAnsi="Arial"/>
          <w:sz w:val="14"/>
          <w:szCs w:val="14"/>
          <w:color w:val="auto"/>
        </w:rPr>
        <w:t>Changes in noninterest income are summarized as follows:</w:t>
      </w:r>
    </w:p>
    <w:p>
      <w:pPr>
        <w:spacing w:after="0" w:line="219" w:lineRule="exact"/>
        <w:rPr>
          <w:rFonts w:ascii="Arial" w:cs="Arial" w:eastAsia="Arial" w:hAnsi="Arial"/>
          <w:sz w:val="14"/>
          <w:szCs w:val="14"/>
          <w:color w:val="0000FF"/>
        </w:rPr>
      </w:pPr>
    </w:p>
    <w:p>
      <w:pPr>
        <w:ind w:left="6040"/>
        <w:spacing w:after="0"/>
        <w:rPr>
          <w:sz w:val="20"/>
          <w:szCs w:val="20"/>
          <w:color w:val="auto"/>
        </w:rPr>
      </w:pPr>
      <w:r>
        <w:rPr>
          <w:rFonts w:ascii="Arial" w:cs="Arial" w:eastAsia="Arial" w:hAnsi="Arial"/>
          <w:sz w:val="11"/>
          <w:szCs w:val="11"/>
          <w:b w:val="1"/>
          <w:bCs w:val="1"/>
          <w:color w:val="auto"/>
        </w:rPr>
        <w:t>Three Months Ended March 31,</w:t>
      </w:r>
    </w:p>
    <w:p>
      <w:pPr>
        <w:spacing w:after="0" w:line="18" w:lineRule="exact"/>
        <w:rPr>
          <w:rFonts w:ascii="Arial" w:cs="Arial" w:eastAsia="Arial" w:hAnsi="Arial"/>
          <w:sz w:val="14"/>
          <w:szCs w:val="14"/>
          <w:color w:val="0000FF"/>
        </w:rPr>
      </w:pPr>
    </w:p>
    <w:tbl>
      <w:tblPr>
        <w:tblLayout w:type="fixed"/>
        <w:tblInd w:w="0" w:type="dxa"/>
        <w:tblCellMar>
          <w:top w:w="0" w:type="dxa"/>
          <w:left w:w="0" w:type="dxa"/>
          <w:bottom w:w="0" w:type="dxa"/>
          <w:right w:w="0" w:type="dxa"/>
        </w:tblCellMar>
      </w:tblPr>
      <w:tr>
        <w:trPr>
          <w:trHeight w:val="139"/>
        </w:trPr>
        <w:tc>
          <w:tcPr>
            <w:tcW w:w="548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E0E7ED"/>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E0E7ED"/>
            </w:tcBorders>
          </w:tcPr>
          <w:p>
            <w:pPr>
              <w:spacing w:after="0"/>
              <w:rPr>
                <w:sz w:val="12"/>
                <w:szCs w:val="12"/>
                <w:color w:val="auto"/>
              </w:rPr>
            </w:pPr>
          </w:p>
        </w:tc>
        <w:tc>
          <w:tcPr>
            <w:tcW w:w="14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 Change</w:t>
            </w:r>
          </w:p>
        </w:tc>
      </w:tr>
      <w:tr>
        <w:trPr>
          <w:trHeight w:val="192"/>
        </w:trPr>
        <w:tc>
          <w:tcPr>
            <w:tcW w:w="54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Noninterest income</w:t>
            </w: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80" w:type="dxa"/>
            <w:vAlign w:val="bottom"/>
            <w:shd w:val="clear" w:color="auto" w:fill="E0E7ED"/>
          </w:tcPr>
          <w:p>
            <w:pPr>
              <w:spacing w:after="0"/>
              <w:rPr>
                <w:sz w:val="16"/>
                <w:szCs w:val="16"/>
                <w:color w:val="auto"/>
              </w:rPr>
            </w:pPr>
          </w:p>
        </w:tc>
      </w:tr>
      <w:tr>
        <w:trPr>
          <w:trHeight w:val="202"/>
        </w:trPr>
        <w:tc>
          <w:tcPr>
            <w:tcW w:w="5480" w:type="dxa"/>
            <w:vAlign w:val="bottom"/>
          </w:tcPr>
          <w:p>
            <w:pPr>
              <w:ind w:left="140"/>
              <w:spacing w:after="0"/>
              <w:rPr>
                <w:sz w:val="20"/>
                <w:szCs w:val="20"/>
                <w:color w:val="auto"/>
              </w:rPr>
            </w:pPr>
            <w:r>
              <w:rPr>
                <w:rFonts w:ascii="Arial" w:cs="Arial" w:eastAsia="Arial" w:hAnsi="Arial"/>
                <w:sz w:val="14"/>
                <w:szCs w:val="14"/>
                <w:color w:val="auto"/>
              </w:rPr>
              <w:t>Wealth management and payment technology solutions income: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2"/>
        </w:trPr>
        <w:tc>
          <w:tcPr>
            <w:tcW w:w="5480" w:type="dxa"/>
            <w:vAlign w:val="bottom"/>
            <w:shd w:val="clear" w:color="auto" w:fill="E0E7ED"/>
          </w:tcPr>
          <w:p>
            <w:pPr>
              <w:ind w:left="280"/>
              <w:spacing w:after="0"/>
              <w:rPr>
                <w:sz w:val="20"/>
                <w:szCs w:val="20"/>
                <w:color w:val="auto"/>
              </w:rPr>
            </w:pPr>
            <w:r>
              <w:rPr>
                <w:rFonts w:ascii="Arial" w:cs="Arial" w:eastAsia="Arial" w:hAnsi="Arial"/>
                <w:sz w:val="14"/>
                <w:szCs w:val="14"/>
                <w:color w:val="auto"/>
              </w:rPr>
              <w:t>Wealth management fees</w:t>
            </w:r>
          </w:p>
        </w:tc>
        <w:tc>
          <w:tcPr>
            <w:tcW w:w="320" w:type="dxa"/>
            <w:vAlign w:val="bottom"/>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17,364</w:t>
            </w: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15,549</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1,815</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11.7 %</w:t>
            </w:r>
          </w:p>
        </w:tc>
      </w:tr>
      <w:tr>
        <w:trPr>
          <w:trHeight w:val="203"/>
        </w:trPr>
        <w:tc>
          <w:tcPr>
            <w:tcW w:w="5480" w:type="dxa"/>
            <w:vAlign w:val="bottom"/>
            <w:tcBorders>
              <w:bottom w:val="single" w:sz="8" w:color="E0E7ED"/>
            </w:tcBorders>
          </w:tcPr>
          <w:p>
            <w:pPr>
              <w:ind w:left="280"/>
              <w:spacing w:after="0"/>
              <w:rPr>
                <w:sz w:val="20"/>
                <w:szCs w:val="20"/>
                <w:color w:val="auto"/>
              </w:rPr>
            </w:pPr>
            <w:r>
              <w:rPr>
                <w:rFonts w:ascii="Arial" w:cs="Arial" w:eastAsia="Arial" w:hAnsi="Arial"/>
                <w:sz w:val="14"/>
                <w:szCs w:val="14"/>
                <w:color w:val="auto"/>
              </w:rPr>
              <w:t>Payment technology solutions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5,073</w:t>
            </w:r>
          </w:p>
        </w:tc>
        <w:tc>
          <w:tcPr>
            <w:tcW w:w="8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5,709</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56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(11.1)%</w:t>
            </w:r>
          </w:p>
        </w:tc>
      </w:tr>
      <w:tr>
        <w:trPr>
          <w:trHeight w:val="212"/>
        </w:trPr>
        <w:tc>
          <w:tcPr>
            <w:tcW w:w="54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Combined, wealth management fees and payment technology solutions</w:t>
            </w: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22,437</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21,258</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1,179</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5.5 %</w:t>
            </w:r>
          </w:p>
        </w:tc>
      </w:tr>
      <w:tr>
        <w:trPr>
          <w:trHeight w:val="212"/>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2"/>
        </w:trPr>
        <w:tc>
          <w:tcPr>
            <w:tcW w:w="54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Fees for customer services</w:t>
            </w: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8,128</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7,056</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1,072</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15.2 %</w:t>
            </w:r>
          </w:p>
        </w:tc>
      </w:tr>
      <w:tr>
        <w:trPr>
          <w:trHeight w:val="202"/>
        </w:trPr>
        <w:tc>
          <w:tcPr>
            <w:tcW w:w="5480" w:type="dxa"/>
            <w:vAlign w:val="bottom"/>
          </w:tcPr>
          <w:p>
            <w:pPr>
              <w:ind w:left="140"/>
              <w:spacing w:after="0"/>
              <w:rPr>
                <w:sz w:val="20"/>
                <w:szCs w:val="20"/>
                <w:color w:val="auto"/>
              </w:rPr>
            </w:pPr>
            <w:r>
              <w:rPr>
                <w:rFonts w:ascii="Arial" w:cs="Arial" w:eastAsia="Arial" w:hAnsi="Arial"/>
                <w:sz w:val="14"/>
                <w:szCs w:val="14"/>
                <w:color w:val="auto"/>
              </w:rPr>
              <w:t>Mortgage revenue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(417)</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(55.9)%</w:t>
            </w:r>
          </w:p>
        </w:tc>
      </w:tr>
      <w:tr>
        <w:trPr>
          <w:trHeight w:val="222"/>
        </w:trPr>
        <w:tc>
          <w:tcPr>
            <w:tcW w:w="54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Income on bank owned life insurance</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1,446</w:t>
            </w: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1,419</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1.9 %</w:t>
            </w:r>
          </w:p>
        </w:tc>
      </w:tr>
      <w:tr>
        <w:trPr>
          <w:trHeight w:val="202"/>
        </w:trPr>
        <w:tc>
          <w:tcPr>
            <w:tcW w:w="5480" w:type="dxa"/>
            <w:vAlign w:val="bottom"/>
          </w:tcPr>
          <w:p>
            <w:pPr>
              <w:ind w:left="140"/>
              <w:spacing w:after="0"/>
              <w:rPr>
                <w:sz w:val="20"/>
                <w:szCs w:val="20"/>
                <w:color w:val="auto"/>
              </w:rPr>
            </w:pPr>
            <w:r>
              <w:rPr>
                <w:rFonts w:ascii="Arial" w:cs="Arial" w:eastAsia="Arial" w:hAnsi="Arial"/>
                <w:sz w:val="14"/>
                <w:szCs w:val="14"/>
                <w:color w:val="auto"/>
              </w:rPr>
              <w:t>Realized net gains (losses) on the sale of mortgage servicing rights</w:t>
            </w:r>
          </w:p>
        </w:tc>
        <w:tc>
          <w:tcPr>
            <w:tcW w:w="3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(7,465)</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(100.0)%</w:t>
            </w:r>
          </w:p>
        </w:tc>
      </w:tr>
      <w:tr>
        <w:trPr>
          <w:trHeight w:val="222"/>
        </w:trPr>
        <w:tc>
          <w:tcPr>
            <w:tcW w:w="54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480" w:type="dxa"/>
            <w:vAlign w:val="bottom"/>
            <w:shd w:val="clear" w:color="auto" w:fill="E0E7ED"/>
          </w:tcPr>
          <w:p>
            <w:pPr>
              <w:spacing w:after="0"/>
              <w:rPr>
                <w:sz w:val="19"/>
                <w:szCs w:val="19"/>
                <w:color w:val="auto"/>
              </w:rPr>
            </w:pPr>
          </w:p>
        </w:tc>
      </w:tr>
      <w:tr>
        <w:trPr>
          <w:trHeight w:val="202"/>
        </w:trPr>
        <w:tc>
          <w:tcPr>
            <w:tcW w:w="5480" w:type="dxa"/>
            <w:vAlign w:val="bottom"/>
          </w:tcPr>
          <w:p>
            <w:pPr>
              <w:ind w:left="140"/>
              <w:spacing w:after="0"/>
              <w:rPr>
                <w:sz w:val="20"/>
                <w:szCs w:val="20"/>
                <w:color w:val="auto"/>
              </w:rPr>
            </w:pPr>
            <w:r>
              <w:rPr>
                <w:rFonts w:ascii="Arial" w:cs="Arial" w:eastAsia="Arial" w:hAnsi="Arial"/>
                <w:sz w:val="14"/>
                <w:szCs w:val="14"/>
                <w:color w:val="auto"/>
              </w:rPr>
              <w:t>Securities income: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2"/>
        </w:trPr>
        <w:tc>
          <w:tcPr>
            <w:tcW w:w="5480" w:type="dxa"/>
            <w:vAlign w:val="bottom"/>
            <w:shd w:val="clear" w:color="auto" w:fill="E0E7ED"/>
          </w:tcPr>
          <w:p>
            <w:pPr>
              <w:ind w:left="280"/>
              <w:spacing w:after="0"/>
              <w:rPr>
                <w:sz w:val="20"/>
                <w:szCs w:val="20"/>
                <w:color w:val="auto"/>
              </w:rPr>
            </w:pPr>
            <w:r>
              <w:rPr>
                <w:rFonts w:ascii="Arial" w:cs="Arial" w:eastAsia="Arial" w:hAnsi="Arial"/>
                <w:sz w:val="14"/>
                <w:szCs w:val="14"/>
                <w:color w:val="auto"/>
              </w:rPr>
              <w:t>Realized net gains (losses) on securities</w:t>
            </w: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(15,537)</w:t>
            </w: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(6,802)</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(8,735)</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(128.4)%</w:t>
            </w:r>
          </w:p>
        </w:tc>
      </w:tr>
      <w:tr>
        <w:trPr>
          <w:trHeight w:val="203"/>
        </w:trPr>
        <w:tc>
          <w:tcPr>
            <w:tcW w:w="5480" w:type="dxa"/>
            <w:vAlign w:val="bottom"/>
            <w:tcBorders>
              <w:bottom w:val="single" w:sz="8" w:color="E0E7ED"/>
            </w:tcBorders>
          </w:tcPr>
          <w:p>
            <w:pPr>
              <w:ind w:left="280"/>
              <w:spacing w:after="0"/>
              <w:rPr>
                <w:sz w:val="20"/>
                <w:szCs w:val="20"/>
                <w:color w:val="auto"/>
              </w:rPr>
            </w:pPr>
            <w:r>
              <w:rPr>
                <w:rFonts w:ascii="Arial" w:cs="Arial" w:eastAsia="Arial" w:hAnsi="Arial"/>
                <w:sz w:val="14"/>
                <w:szCs w:val="14"/>
                <w:color w:val="auto"/>
              </w:rPr>
              <w:t>Unrealized net gains (losses) recognized on equity securities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8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56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(154.1)%</w:t>
            </w:r>
          </w:p>
        </w:tc>
      </w:tr>
      <w:tr>
        <w:trPr>
          <w:trHeight w:val="212"/>
        </w:trPr>
        <w:tc>
          <w:tcPr>
            <w:tcW w:w="54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Net securities gains (losses)</w:t>
            </w: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(15,768)</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(6,375)</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(9,393)</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(147.3)%</w:t>
            </w:r>
          </w:p>
        </w:tc>
      </w:tr>
      <w:tr>
        <w:trPr>
          <w:trHeight w:val="212"/>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54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Other noninterest income</w:t>
            </w:r>
          </w:p>
        </w:tc>
        <w:tc>
          <w:tcPr>
            <w:tcW w:w="320" w:type="dxa"/>
            <w:vAlign w:val="bottom"/>
            <w:tcBorders>
              <w:bottom w:val="single" w:sz="8" w:color="auto"/>
            </w:tcBorders>
            <w:shd w:val="clear" w:color="auto" w:fill="E0E7ED"/>
          </w:tcPr>
          <w:p>
            <w:pPr>
              <w:spacing w:after="0"/>
              <w:rPr>
                <w:sz w:val="17"/>
                <w:szCs w:val="17"/>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4,651</w:t>
            </w:r>
          </w:p>
        </w:tc>
        <w:tc>
          <w:tcPr>
            <w:tcW w:w="80" w:type="dxa"/>
            <w:vAlign w:val="bottom"/>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spacing w:after="0"/>
              <w:rPr>
                <w:sz w:val="17"/>
                <w:szCs w:val="17"/>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3,344</w:t>
            </w:r>
          </w:p>
        </w:tc>
        <w:tc>
          <w:tcPr>
            <w:tcW w:w="80" w:type="dxa"/>
            <w:vAlign w:val="bottom"/>
            <w:shd w:val="clear" w:color="auto" w:fill="E0E7ED"/>
          </w:tcPr>
          <w:p>
            <w:pPr>
              <w:spacing w:after="0"/>
              <w:rPr>
                <w:sz w:val="17"/>
                <w:szCs w:val="17"/>
                <w:color w:val="auto"/>
              </w:rPr>
            </w:pPr>
          </w:p>
        </w:tc>
        <w:tc>
          <w:tcPr>
            <w:tcW w:w="280" w:type="dxa"/>
            <w:vAlign w:val="bottom"/>
            <w:tcBorders>
              <w:bottom w:val="single" w:sz="8" w:color="auto"/>
            </w:tcBorders>
            <w:shd w:val="clear" w:color="auto" w:fill="E0E7ED"/>
          </w:tcPr>
          <w:p>
            <w:pPr>
              <w:spacing w:after="0"/>
              <w:rPr>
                <w:sz w:val="17"/>
                <w:szCs w:val="17"/>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1,307</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39.1 %</w:t>
            </w:r>
          </w:p>
        </w:tc>
      </w:tr>
      <w:tr>
        <w:trPr>
          <w:trHeight w:val="212"/>
        </w:trPr>
        <w:tc>
          <w:tcPr>
            <w:tcW w:w="5480" w:type="dxa"/>
            <w:vAlign w:val="bottom"/>
          </w:tcPr>
          <w:p>
            <w:pPr>
              <w:ind w:left="20"/>
              <w:spacing w:after="0"/>
              <w:rPr>
                <w:sz w:val="20"/>
                <w:szCs w:val="20"/>
                <w:color w:val="auto"/>
              </w:rPr>
            </w:pPr>
            <w:r>
              <w:rPr>
                <w:rFonts w:ascii="Arial" w:cs="Arial" w:eastAsia="Arial" w:hAnsi="Arial"/>
                <w:sz w:val="14"/>
                <w:szCs w:val="14"/>
                <w:color w:val="auto"/>
              </w:rPr>
              <w:t>Total noninterest income</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21,223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34,913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(13,690)</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(39.2)%</w:t>
            </w:r>
          </w:p>
        </w:tc>
      </w:tr>
      <w:tr>
        <w:trPr>
          <w:trHeight w:val="20"/>
        </w:trPr>
        <w:tc>
          <w:tcPr>
            <w:tcW w:w="54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E0E7ED"/>
            </w:tcBorders>
          </w:tcPr>
          <w:p>
            <w:pPr>
              <w:spacing w:after="0" w:line="20" w:lineRule="exact"/>
              <w:rPr>
                <w:sz w:val="1"/>
                <w:szCs w:val="1"/>
                <w:color w:val="auto"/>
              </w:rPr>
            </w:pPr>
          </w:p>
        </w:tc>
      </w:tr>
      <w:tr>
        <w:trPr>
          <w:trHeight w:val="173"/>
        </w:trPr>
        <w:tc>
          <w:tcPr>
            <w:tcW w:w="548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80" w:type="dxa"/>
            <w:vAlign w:val="bottom"/>
            <w:shd w:val="clear" w:color="auto" w:fill="E0E7ED"/>
          </w:tcPr>
          <w:p>
            <w:pPr>
              <w:spacing w:after="0"/>
              <w:rPr>
                <w:sz w:val="15"/>
                <w:szCs w:val="15"/>
                <w:color w:val="auto"/>
              </w:rPr>
            </w:pPr>
          </w:p>
        </w:tc>
        <w:tc>
          <w:tcPr>
            <w:tcW w:w="10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80" w:type="dxa"/>
            <w:vAlign w:val="bottom"/>
            <w:shd w:val="clear" w:color="auto" w:fill="E0E7ED"/>
          </w:tcPr>
          <w:p>
            <w:pPr>
              <w:spacing w:after="0"/>
              <w:rPr>
                <w:sz w:val="15"/>
                <w:szCs w:val="15"/>
                <w:color w:val="auto"/>
              </w:rPr>
            </w:pPr>
          </w:p>
        </w:tc>
      </w:tr>
      <w:tr>
        <w:trPr>
          <w:trHeight w:val="193"/>
        </w:trPr>
        <w:tc>
          <w:tcPr>
            <w:tcW w:w="5480" w:type="dxa"/>
            <w:vAlign w:val="bottom"/>
          </w:tcPr>
          <w:p>
            <w:pPr>
              <w:ind w:left="20"/>
              <w:spacing w:after="0"/>
              <w:rPr>
                <w:sz w:val="20"/>
                <w:szCs w:val="20"/>
                <w:color w:val="auto"/>
              </w:rPr>
            </w:pPr>
            <w:r>
              <w:rPr>
                <w:rFonts w:ascii="Arial" w:cs="Arial" w:eastAsia="Arial" w:hAnsi="Arial"/>
                <w:sz w:val="14"/>
                <w:szCs w:val="14"/>
                <w:color w:val="auto"/>
              </w:rPr>
              <w:t>Assets under care as of period end</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13,677,866</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12,762,786</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915,080</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7.2 %</w:t>
            </w:r>
          </w:p>
        </w:tc>
      </w:tr>
    </w:tbl>
    <w:p>
      <w:pPr>
        <w:spacing w:after="0" w:line="217" w:lineRule="exact"/>
        <w:rPr>
          <w:rFonts w:ascii="Arial" w:cs="Arial" w:eastAsia="Arial" w:hAnsi="Arial"/>
          <w:sz w:val="14"/>
          <w:szCs w:val="14"/>
          <w:color w:val="0000FF"/>
        </w:rPr>
      </w:pPr>
    </w:p>
    <w:p>
      <w:pPr>
        <w:jc w:val="both"/>
        <w:spacing w:after="0" w:line="290" w:lineRule="auto"/>
        <w:rPr>
          <w:sz w:val="20"/>
          <w:szCs w:val="20"/>
          <w:color w:val="auto"/>
        </w:rPr>
      </w:pPr>
      <w:r>
        <w:rPr>
          <w:rFonts w:ascii="Arial" w:cs="Arial" w:eastAsia="Arial" w:hAnsi="Arial"/>
          <w:sz w:val="14"/>
          <w:szCs w:val="14"/>
          <w:color w:val="auto"/>
        </w:rPr>
        <w:t>Total noninterest income was $21.2 million for the three months ended March 31, 2025, a decrease of 39.2% from the comparable period in 2024, primarily due to net securities losses that were recorded in connection with a strategic balance sheet repositioning.</w:t>
      </w:r>
    </w:p>
    <w:p>
      <w:pPr>
        <w:spacing w:after="0" w:line="200" w:lineRule="exact"/>
        <w:rPr>
          <w:rFonts w:ascii="Arial" w:cs="Arial" w:eastAsia="Arial" w:hAnsi="Arial"/>
          <w:sz w:val="14"/>
          <w:szCs w:val="14"/>
          <w:color w:val="0000FF"/>
        </w:rPr>
      </w:pPr>
    </w:p>
    <w:p>
      <w:pPr>
        <w:spacing w:after="0" w:line="217" w:lineRule="exact"/>
        <w:rPr>
          <w:rFonts w:ascii="Arial" w:cs="Arial" w:eastAsia="Arial" w:hAnsi="Arial"/>
          <w:sz w:val="14"/>
          <w:szCs w:val="14"/>
          <w:color w:val="0000FF"/>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74</w:t>
      </w:r>
    </w:p>
    <w:p>
      <w:pPr>
        <w:spacing w:after="0" w:line="20" w:lineRule="exact"/>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74" w:name="page75"/>
    <w:bookmarkEnd w:id="74"/>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Wealth management fees were $17.4 million for the three months ended March 31, 2025, an 11.7% increase from the comparable period for 2024, primarily due to increases in trust fee income. On a segment basis, Busey’s Wealth Management division contributed $17.6 million for the three months ended March 31, 2025, which included approximately $0.2 million reported as other noninterest income. Busey’s Wealth Management division ended the first quarter of 2025 with $13.68 billion in assets under care, an increase of 7.2% compared to the balance on March 31, 2024. Busey’s portfolio management team continues to focus on long-term returns and managing risk in the face of volatile markets.</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Income from payment technology solutions relates to Busey’s payment processing company, FirsTech. Payment technology solutions income was $5.1 million for the three months ended March 31, 2025, an 11.1% decrease from the comparable period in 2024, primarily due to decreases in income from electronic payments, online bill payments, and interactive voice response payments, partially offset by increases in income from lockbox processing and merchant services. On a segment basis, FirsTech contributed $5.4 million for the three months ended March 31, 2025.</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On a segment basis, noninterest income generated from Busey’s Wealth Management and FirsTech operating segments contributed $23.0 million for the three months ended March 31, 2025, adding revenue diversification and providing a balance to spread-based revenue from traditional banking activities. For additional information about Busey’s operating segments,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Note 16. Operating Segments and Related Information</w:t>
      </w:r>
      <w:r>
        <w:rPr>
          <w:rFonts w:ascii="Arial" w:cs="Arial" w:eastAsia="Arial" w:hAnsi="Arial"/>
          <w:sz w:val="14"/>
          <w:szCs w:val="14"/>
          <w:i w:val="1"/>
          <w:iCs w:val="1"/>
          <w:color w:val="auto"/>
        </w:rPr>
        <w:t>.”</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Fees for customer services were $8.1 million for the three months ended March 31, 2025, a 15.2% increase from the comparable period in 2024, primarily due to increases in analysis charges, automated teller machine fees, and interchange fees, partially offset by lower non-sufficient funds charges. Increases in fees for customer services are primarily attributable to the inclusion of one month of CrossFirst’s income in operating results.</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Mortgage revenue was $0.3 million for the three months ended March 31, 2025, a 55.9% decrease from the comparable period in 2024. Decreases were primarily based on sold-loan mortgage volume and decreased servicing income. General economic conditions and interest rate volatility may impact future mortgage revenue.</w:t>
      </w:r>
    </w:p>
    <w:p>
      <w:pPr>
        <w:spacing w:after="0" w:line="8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Income on bank owned life insurance was $1.4 million for the three months ended March 31, 2025, a 1.9% increase from the comparable period in 2024, which included a $0.2 million increase in the cash surrender value of the policies and a $0.2 million decrease in earnings on death proceeds.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three months ended March 31, 2025, Busey did not record any realized gains on the sale of mortgage servicing rights. In comparison, during the three months ended March 31, 2024, Busey recognized a $7.5 million gain on the sale of mortgage servicing rights in connection with a strategic two-part balance sheet repositioning.</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Net securities losses of $15.8 million were realized during the three months ended March 31, 2025, a 147.3% increase over the net securities losses realized during the comparable period in 2024. Losses for the three months ended March 31, 2025, were comprised of $ 15.5 million of realized net losses on securities associated with a strategic balance sheet repositioning and $0.2 million of unrealized net losses recognized on equity securities. Proceeds from the balance sheet repositioning were used to purchase higher-yielding securities.</w:t>
      </w:r>
    </w:p>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Other noninterest income was $4.7 million for the three months ended March 31, 2025, a 39.1% increase from the comparable period in 2024. The increase was primarily driven by increases in swap origination fees, gains on commercial loan sales, Life Equity Loan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servicing income, and OREO income, offset by decreases in venture capital income.</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75" w:name="page76"/>
    <w:bookmarkEnd w:id="75"/>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ectPr>
          <w:pgSz w:w="11900" w:h="16838" w:orient="portrait"/>
          <w:cols w:equalWidth="0" w:num="1">
            <w:col w:w="11280"/>
          </w:cols>
          <w:pgMar w:left="300" w:top="26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Changes in noninterest expense are summarized as follows for the periods presented:</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34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Noninterest expense</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20" w:type="dxa"/>
            <w:vAlign w:val="bottom"/>
          </w:tcPr>
          <w:p>
            <w:pPr>
              <w:ind w:left="120"/>
              <w:spacing w:after="0"/>
              <w:rPr>
                <w:sz w:val="20"/>
                <w:szCs w:val="20"/>
                <w:color w:val="auto"/>
              </w:rPr>
            </w:pPr>
            <w:r>
              <w:rPr>
                <w:rFonts w:ascii="Arial" w:cs="Arial" w:eastAsia="Arial" w:hAnsi="Arial"/>
                <w:sz w:val="14"/>
                <w:szCs w:val="14"/>
                <w:color w:val="auto"/>
              </w:rPr>
              <w:t>Salaries, wages, and employee benefits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5120" w:type="dxa"/>
            <w:vAlign w:val="bottom"/>
          </w:tcPr>
          <w:p>
            <w:pPr>
              <w:ind w:left="120"/>
              <w:spacing w:after="0"/>
              <w:rPr>
                <w:sz w:val="20"/>
                <w:szCs w:val="20"/>
                <w:color w:val="auto"/>
              </w:rPr>
            </w:pPr>
            <w:r>
              <w:rPr>
                <w:rFonts w:ascii="Arial" w:cs="Arial" w:eastAsia="Arial" w:hAnsi="Arial"/>
                <w:sz w:val="14"/>
                <w:szCs w:val="14"/>
                <w:color w:val="auto"/>
              </w:rPr>
              <w:t>Data processing</w:t>
            </w:r>
          </w:p>
        </w:tc>
        <w:tc>
          <w:tcPr>
            <w:tcW w:w="280" w:type="dxa"/>
            <w:vAlign w:val="bottom"/>
          </w:tcPr>
          <w:p>
            <w:pPr>
              <w:spacing w:after="0"/>
              <w:rPr>
                <w:sz w:val="18"/>
                <w:szCs w:val="18"/>
                <w:color w:val="auto"/>
              </w:rPr>
            </w:pPr>
          </w:p>
        </w:tc>
      </w:tr>
      <w:tr>
        <w:trPr>
          <w:trHeight w:val="424"/>
        </w:trPr>
        <w:tc>
          <w:tcPr>
            <w:tcW w:w="5120" w:type="dxa"/>
            <w:vAlign w:val="bottom"/>
          </w:tcPr>
          <w:p>
            <w:pPr>
              <w:ind w:left="120"/>
              <w:spacing w:after="0"/>
              <w:rPr>
                <w:sz w:val="20"/>
                <w:szCs w:val="20"/>
                <w:color w:val="auto"/>
              </w:rPr>
            </w:pPr>
            <w:r>
              <w:rPr>
                <w:rFonts w:ascii="Arial" w:cs="Arial" w:eastAsia="Arial" w:hAnsi="Arial"/>
                <w:sz w:val="14"/>
                <w:szCs w:val="14"/>
                <w:color w:val="auto"/>
              </w:rPr>
              <w:t>Premises expenses:</w:t>
            </w:r>
          </w:p>
        </w:tc>
        <w:tc>
          <w:tcPr>
            <w:tcW w:w="280" w:type="dxa"/>
            <w:vAlign w:val="bottom"/>
          </w:tcPr>
          <w:p>
            <w:pPr>
              <w:spacing w:after="0"/>
              <w:rPr>
                <w:sz w:val="24"/>
                <w:szCs w:val="24"/>
                <w:color w:val="auto"/>
              </w:rPr>
            </w:pPr>
          </w:p>
        </w:tc>
      </w:tr>
      <w:tr>
        <w:trPr>
          <w:trHeight w:val="212"/>
        </w:trPr>
        <w:tc>
          <w:tcPr>
            <w:tcW w:w="5120" w:type="dxa"/>
            <w:vAlign w:val="bottom"/>
          </w:tcPr>
          <w:p>
            <w:pPr>
              <w:ind w:left="260"/>
              <w:spacing w:after="0"/>
              <w:rPr>
                <w:sz w:val="20"/>
                <w:szCs w:val="20"/>
                <w:color w:val="auto"/>
              </w:rPr>
            </w:pPr>
            <w:r>
              <w:rPr>
                <w:rFonts w:ascii="Arial" w:cs="Arial" w:eastAsia="Arial" w:hAnsi="Arial"/>
                <w:sz w:val="14"/>
                <w:szCs w:val="14"/>
                <w:color w:val="auto"/>
              </w:rPr>
              <w:t>Net occupancy expense of premises</w:t>
            </w:r>
          </w:p>
        </w:tc>
        <w:tc>
          <w:tcPr>
            <w:tcW w:w="280" w:type="dxa"/>
            <w:vAlign w:val="bottom"/>
          </w:tcPr>
          <w:p>
            <w:pPr>
              <w:spacing w:after="0"/>
              <w:rPr>
                <w:sz w:val="18"/>
                <w:szCs w:val="18"/>
                <w:color w:val="auto"/>
              </w:rPr>
            </w:pPr>
          </w:p>
        </w:tc>
      </w:tr>
      <w:tr>
        <w:trPr>
          <w:trHeight w:val="212"/>
        </w:trPr>
        <w:tc>
          <w:tcPr>
            <w:tcW w:w="5120" w:type="dxa"/>
            <w:vAlign w:val="bottom"/>
          </w:tcPr>
          <w:p>
            <w:pPr>
              <w:ind w:left="260"/>
              <w:spacing w:after="0"/>
              <w:rPr>
                <w:sz w:val="20"/>
                <w:szCs w:val="20"/>
                <w:color w:val="auto"/>
              </w:rPr>
            </w:pPr>
            <w:r>
              <w:rPr>
                <w:rFonts w:ascii="Arial" w:cs="Arial" w:eastAsia="Arial" w:hAnsi="Arial"/>
                <w:sz w:val="14"/>
                <w:szCs w:val="14"/>
                <w:color w:val="auto"/>
              </w:rPr>
              <w:t>Furniture and equipment expenses</w:t>
            </w:r>
          </w:p>
        </w:tc>
        <w:tc>
          <w:tcPr>
            <w:tcW w:w="280" w:type="dxa"/>
            <w:vAlign w:val="bottom"/>
          </w:tcPr>
          <w:p>
            <w:pPr>
              <w:spacing w:after="0"/>
              <w:rPr>
                <w:sz w:val="18"/>
                <w:szCs w:val="18"/>
                <w:color w:val="auto"/>
              </w:rPr>
            </w:pPr>
          </w:p>
        </w:tc>
      </w:tr>
      <w:tr>
        <w:trPr>
          <w:trHeight w:val="196"/>
        </w:trPr>
        <w:tc>
          <w:tcPr>
            <w:tcW w:w="5120" w:type="dxa"/>
            <w:vAlign w:val="bottom"/>
          </w:tcPr>
          <w:p>
            <w:pPr>
              <w:ind w:left="120"/>
              <w:spacing w:after="0"/>
              <w:rPr>
                <w:sz w:val="20"/>
                <w:szCs w:val="20"/>
                <w:color w:val="auto"/>
              </w:rPr>
            </w:pPr>
            <w:r>
              <w:rPr>
                <w:rFonts w:ascii="Arial" w:cs="Arial" w:eastAsia="Arial" w:hAnsi="Arial"/>
                <w:sz w:val="14"/>
                <w:szCs w:val="14"/>
                <w:color w:val="auto"/>
              </w:rPr>
              <w:t>Combined, net occupancy expense of premises and furniture and equipment</w:t>
            </w:r>
          </w:p>
        </w:tc>
        <w:tc>
          <w:tcPr>
            <w:tcW w:w="280" w:type="dxa"/>
            <w:vAlign w:val="bottom"/>
          </w:tcPr>
          <w:p>
            <w:pPr>
              <w:spacing w:after="0"/>
              <w:rPr>
                <w:sz w:val="17"/>
                <w:szCs w:val="17"/>
                <w:color w:val="auto"/>
              </w:rPr>
            </w:pPr>
          </w:p>
        </w:tc>
      </w:tr>
      <w:tr>
        <w:trPr>
          <w:trHeight w:val="186"/>
        </w:trPr>
        <w:tc>
          <w:tcPr>
            <w:tcW w:w="5120" w:type="dxa"/>
            <w:vAlign w:val="bottom"/>
          </w:tcPr>
          <w:p>
            <w:pPr>
              <w:ind w:left="120"/>
              <w:spacing w:after="0"/>
              <w:rPr>
                <w:sz w:val="20"/>
                <w:szCs w:val="20"/>
                <w:color w:val="auto"/>
              </w:rPr>
            </w:pPr>
            <w:r>
              <w:rPr>
                <w:rFonts w:ascii="Arial" w:cs="Arial" w:eastAsia="Arial" w:hAnsi="Arial"/>
                <w:sz w:val="14"/>
                <w:szCs w:val="14"/>
                <w:color w:val="auto"/>
              </w:rPr>
              <w:t>expenses</w:t>
            </w:r>
          </w:p>
        </w:tc>
        <w:tc>
          <w:tcPr>
            <w:tcW w:w="280" w:type="dxa"/>
            <w:vAlign w:val="bottom"/>
          </w:tcPr>
          <w:p>
            <w:pPr>
              <w:spacing w:after="0"/>
              <w:rPr>
                <w:sz w:val="16"/>
                <w:szCs w:val="16"/>
                <w:color w:val="auto"/>
              </w:rPr>
            </w:pPr>
          </w:p>
        </w:tc>
      </w:tr>
      <w:tr>
        <w:trPr>
          <w:trHeight w:val="424"/>
        </w:trPr>
        <w:tc>
          <w:tcPr>
            <w:tcW w:w="5120" w:type="dxa"/>
            <w:vAlign w:val="bottom"/>
          </w:tcPr>
          <w:p>
            <w:pPr>
              <w:ind w:left="120"/>
              <w:spacing w:after="0"/>
              <w:rPr>
                <w:sz w:val="20"/>
                <w:szCs w:val="20"/>
                <w:color w:val="auto"/>
              </w:rPr>
            </w:pPr>
            <w:r>
              <w:rPr>
                <w:rFonts w:ascii="Arial" w:cs="Arial" w:eastAsia="Arial" w:hAnsi="Arial"/>
                <w:sz w:val="14"/>
                <w:szCs w:val="14"/>
                <w:color w:val="auto"/>
              </w:rPr>
              <w:t>Professional fees</w:t>
            </w:r>
          </w:p>
        </w:tc>
        <w:tc>
          <w:tcPr>
            <w:tcW w:w="280" w:type="dxa"/>
            <w:vAlign w:val="bottom"/>
          </w:tcPr>
          <w:p>
            <w:pPr>
              <w:spacing w:after="0"/>
              <w:rPr>
                <w:sz w:val="24"/>
                <w:szCs w:val="24"/>
                <w:color w:val="auto"/>
              </w:rPr>
            </w:pPr>
          </w:p>
        </w:tc>
      </w:tr>
      <w:tr>
        <w:trPr>
          <w:trHeight w:val="212"/>
        </w:trPr>
        <w:tc>
          <w:tcPr>
            <w:tcW w:w="5120" w:type="dxa"/>
            <w:vAlign w:val="bottom"/>
          </w:tcPr>
          <w:p>
            <w:pPr>
              <w:ind w:left="1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8"/>
                <w:szCs w:val="18"/>
                <w:color w:val="auto"/>
              </w:rPr>
            </w:pPr>
          </w:p>
        </w:tc>
      </w:tr>
      <w:tr>
        <w:trPr>
          <w:trHeight w:val="212"/>
        </w:trPr>
        <w:tc>
          <w:tcPr>
            <w:tcW w:w="5120" w:type="dxa"/>
            <w:vAlign w:val="bottom"/>
          </w:tcPr>
          <w:p>
            <w:pPr>
              <w:ind w:left="120"/>
              <w:spacing w:after="0"/>
              <w:rPr>
                <w:sz w:val="20"/>
                <w:szCs w:val="20"/>
                <w:color w:val="auto"/>
              </w:rPr>
            </w:pPr>
            <w:r>
              <w:rPr>
                <w:rFonts w:ascii="Arial" w:cs="Arial" w:eastAsia="Arial" w:hAnsi="Arial"/>
                <w:sz w:val="14"/>
                <w:szCs w:val="14"/>
                <w:color w:val="auto"/>
              </w:rPr>
              <w:t>Interchange expense</w:t>
            </w:r>
          </w:p>
        </w:tc>
        <w:tc>
          <w:tcPr>
            <w:tcW w:w="280" w:type="dxa"/>
            <w:vAlign w:val="bottom"/>
          </w:tcPr>
          <w:p>
            <w:pPr>
              <w:spacing w:after="0"/>
              <w:rPr>
                <w:sz w:val="18"/>
                <w:szCs w:val="18"/>
                <w:color w:val="auto"/>
              </w:rPr>
            </w:pPr>
          </w:p>
        </w:tc>
      </w:tr>
      <w:tr>
        <w:trPr>
          <w:trHeight w:val="212"/>
        </w:trPr>
        <w:tc>
          <w:tcPr>
            <w:tcW w:w="5120" w:type="dxa"/>
            <w:vAlign w:val="bottom"/>
          </w:tcPr>
          <w:p>
            <w:pPr>
              <w:ind w:left="120"/>
              <w:spacing w:after="0"/>
              <w:rPr>
                <w:sz w:val="20"/>
                <w:szCs w:val="20"/>
                <w:color w:val="auto"/>
              </w:rPr>
            </w:pPr>
            <w:r>
              <w:rPr>
                <w:rFonts w:ascii="Arial" w:cs="Arial" w:eastAsia="Arial" w:hAnsi="Arial"/>
                <w:sz w:val="14"/>
                <w:szCs w:val="14"/>
                <w:color w:val="auto"/>
              </w:rPr>
              <w:t>FDIC insurance</w:t>
            </w:r>
          </w:p>
        </w:tc>
        <w:tc>
          <w:tcPr>
            <w:tcW w:w="280" w:type="dxa"/>
            <w:vAlign w:val="bottom"/>
          </w:tcPr>
          <w:p>
            <w:pPr>
              <w:spacing w:after="0"/>
              <w:rPr>
                <w:sz w:val="18"/>
                <w:szCs w:val="18"/>
                <w:color w:val="auto"/>
              </w:rPr>
            </w:pPr>
          </w:p>
        </w:tc>
      </w:tr>
      <w:tr>
        <w:trPr>
          <w:trHeight w:val="212"/>
        </w:trPr>
        <w:tc>
          <w:tcPr>
            <w:tcW w:w="5120" w:type="dxa"/>
            <w:vAlign w:val="bottom"/>
          </w:tcPr>
          <w:p>
            <w:pPr>
              <w:ind w:left="120"/>
              <w:spacing w:after="0"/>
              <w:rPr>
                <w:sz w:val="20"/>
                <w:szCs w:val="20"/>
                <w:color w:val="auto"/>
              </w:rPr>
            </w:pPr>
            <w:r>
              <w:rPr>
                <w:rFonts w:ascii="Arial" w:cs="Arial" w:eastAsia="Arial" w:hAnsi="Arial"/>
                <w:sz w:val="14"/>
                <w:szCs w:val="14"/>
                <w:color w:val="auto"/>
              </w:rPr>
              <w:t>Other noninterest expense</w:t>
            </w:r>
          </w:p>
        </w:tc>
        <w:tc>
          <w:tcPr>
            <w:tcW w:w="280" w:type="dxa"/>
            <w:vAlign w:val="bottom"/>
          </w:tcPr>
          <w:p>
            <w:pPr>
              <w:spacing w:after="0"/>
              <w:rPr>
                <w:sz w:val="18"/>
                <w:szCs w:val="18"/>
                <w:color w:val="auto"/>
              </w:rPr>
            </w:pPr>
          </w:p>
        </w:tc>
      </w:tr>
      <w:tr>
        <w:trPr>
          <w:trHeight w:val="244"/>
        </w:trPr>
        <w:tc>
          <w:tcPr>
            <w:tcW w:w="5120" w:type="dxa"/>
            <w:vAlign w:val="bottom"/>
          </w:tcPr>
          <w:p>
            <w:pPr>
              <w:spacing w:after="0"/>
              <w:rPr>
                <w:sz w:val="20"/>
                <w:szCs w:val="20"/>
                <w:color w:val="auto"/>
              </w:rPr>
            </w:pPr>
            <w:r>
              <w:rPr>
                <w:rFonts w:ascii="Arial" w:cs="Arial" w:eastAsia="Arial" w:hAnsi="Arial"/>
                <w:sz w:val="14"/>
                <w:szCs w:val="14"/>
                <w:color w:val="auto"/>
              </w:rPr>
              <w:t>Total noninterest expense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24"/>
        </w:trPr>
        <w:tc>
          <w:tcPr>
            <w:tcW w:w="5120" w:type="dxa"/>
            <w:vAlign w:val="bottom"/>
          </w:tcPr>
          <w:p>
            <w:pPr>
              <w:spacing w:after="0"/>
              <w:rPr>
                <w:sz w:val="20"/>
                <w:szCs w:val="20"/>
                <w:color w:val="auto"/>
              </w:rPr>
            </w:pPr>
            <w:r>
              <w:rPr>
                <w:rFonts w:ascii="Arial" w:cs="Arial" w:eastAsia="Arial" w:hAnsi="Arial"/>
                <w:sz w:val="14"/>
                <w:szCs w:val="14"/>
                <w:color w:val="auto"/>
              </w:rPr>
              <w:t>Income taxes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5120" w:type="dxa"/>
            <w:vAlign w:val="bottom"/>
          </w:tcPr>
          <w:p>
            <w:pPr>
              <w:spacing w:after="0"/>
              <w:rPr>
                <w:sz w:val="20"/>
                <w:szCs w:val="20"/>
                <w:color w:val="auto"/>
              </w:rPr>
            </w:pPr>
            <w:r>
              <w:rPr>
                <w:rFonts w:ascii="Arial" w:cs="Arial" w:eastAsia="Arial" w:hAnsi="Arial"/>
                <w:sz w:val="14"/>
                <w:szCs w:val="14"/>
                <w:color w:val="auto"/>
              </w:rPr>
              <w:t>Effective income tax rate</w:t>
            </w:r>
          </w:p>
        </w:tc>
        <w:tc>
          <w:tcPr>
            <w:tcW w:w="280" w:type="dxa"/>
            <w:vAlign w:val="bottom"/>
          </w:tcPr>
          <w:p>
            <w:pPr>
              <w:spacing w:after="0"/>
              <w:rPr>
                <w:sz w:val="18"/>
                <w:szCs w:val="18"/>
                <w:color w:val="auto"/>
              </w:rPr>
            </w:pPr>
          </w:p>
        </w:tc>
      </w:tr>
      <w:tr>
        <w:trPr>
          <w:trHeight w:val="451"/>
        </w:trPr>
        <w:tc>
          <w:tcPr>
            <w:tcW w:w="5120" w:type="dxa"/>
            <w:vAlign w:val="bottom"/>
          </w:tcPr>
          <w:p>
            <w:pPr>
              <w:spacing w:after="0"/>
              <w:rPr>
                <w:sz w:val="20"/>
                <w:szCs w:val="20"/>
                <w:color w:val="auto"/>
              </w:rPr>
            </w:pPr>
            <w:r>
              <w:rPr>
                <w:rFonts w:ascii="Arial" w:cs="Arial" w:eastAsia="Arial" w:hAnsi="Arial"/>
                <w:sz w:val="14"/>
                <w:szCs w:val="14"/>
                <w:color w:val="auto"/>
              </w:rPr>
              <w:t>Efficiency ratio (Non-GAAP)</w:t>
            </w:r>
            <w:r>
              <w:rPr>
                <w:rFonts w:ascii="Arial" w:cs="Arial" w:eastAsia="Arial" w:hAnsi="Arial"/>
                <w:sz w:val="18"/>
                <w:szCs w:val="18"/>
                <w:color w:val="auto"/>
                <w:vertAlign w:val="superscript"/>
              </w:rPr>
              <w:t>1</w:t>
            </w:r>
          </w:p>
        </w:tc>
        <w:tc>
          <w:tcPr>
            <w:tcW w:w="280" w:type="dxa"/>
            <w:vAlign w:val="bottom"/>
          </w:tcPr>
          <w:p>
            <w:pPr>
              <w:spacing w:after="0"/>
              <w:rPr>
                <w:sz w:val="24"/>
                <w:szCs w:val="24"/>
                <w:color w:val="auto"/>
              </w:rPr>
            </w:pPr>
          </w:p>
        </w:tc>
      </w:tr>
      <w:tr>
        <w:trPr>
          <w:trHeight w:val="252"/>
        </w:trPr>
        <w:tc>
          <w:tcPr>
            <w:tcW w:w="5120" w:type="dxa"/>
            <w:vAlign w:val="bottom"/>
          </w:tcPr>
          <w:p>
            <w:pPr>
              <w:spacing w:after="0"/>
              <w:rPr>
                <w:sz w:val="20"/>
                <w:szCs w:val="20"/>
                <w:color w:val="auto"/>
              </w:rPr>
            </w:pPr>
            <w:r>
              <w:rPr>
                <w:rFonts w:ascii="Arial" w:cs="Arial" w:eastAsia="Arial" w:hAnsi="Arial"/>
                <w:sz w:val="14"/>
                <w:szCs w:val="14"/>
                <w:color w:val="auto"/>
              </w:rPr>
              <w:t>Adjusted efficiency ratio (Non-GAAP)</w:t>
            </w:r>
            <w:r>
              <w:rPr>
                <w:rFonts w:ascii="Arial" w:cs="Arial" w:eastAsia="Arial" w:hAnsi="Arial"/>
                <w:sz w:val="18"/>
                <w:szCs w:val="18"/>
                <w:color w:val="auto"/>
                <w:vertAlign w:val="superscript"/>
              </w:rPr>
              <w:t>1</w:t>
            </w:r>
          </w:p>
        </w:tc>
        <w:tc>
          <w:tcPr>
            <w:tcW w:w="280" w:type="dxa"/>
            <w:vAlign w:val="bottom"/>
          </w:tcPr>
          <w:p>
            <w:pPr>
              <w:spacing w:after="0"/>
              <w:rPr>
                <w:sz w:val="21"/>
                <w:szCs w:val="21"/>
                <w:color w:val="auto"/>
              </w:rPr>
            </w:pPr>
          </w:p>
        </w:tc>
      </w:tr>
      <w:tr>
        <w:trPr>
          <w:trHeight w:val="358"/>
        </w:trPr>
        <w:tc>
          <w:tcPr>
            <w:tcW w:w="5120" w:type="dxa"/>
            <w:vAlign w:val="bottom"/>
          </w:tcPr>
          <w:p>
            <w:pPr>
              <w:spacing w:after="0"/>
              <w:rPr>
                <w:sz w:val="20"/>
                <w:szCs w:val="20"/>
                <w:color w:val="auto"/>
              </w:rPr>
            </w:pPr>
            <w:r>
              <w:rPr>
                <w:rFonts w:ascii="Arial" w:cs="Arial" w:eastAsia="Arial" w:hAnsi="Arial"/>
                <w:sz w:val="14"/>
                <w:szCs w:val="14"/>
                <w:color w:val="auto"/>
              </w:rPr>
              <w:t>Full-time equivalent associates as of period-end</w:t>
            </w:r>
          </w:p>
        </w:tc>
        <w:tc>
          <w:tcPr>
            <w:tcW w:w="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-2944495</wp:posOffset>
            </wp:positionV>
            <wp:extent cx="7161530" cy="134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-2675255</wp:posOffset>
            </wp:positionV>
            <wp:extent cx="7161530" cy="134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-2405380</wp:posOffset>
            </wp:positionV>
            <wp:extent cx="7161530" cy="134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-2028190</wp:posOffset>
            </wp:positionV>
            <wp:extent cx="7161530" cy="134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-1758950</wp:posOffset>
            </wp:positionV>
            <wp:extent cx="7161530" cy="134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-1489075</wp:posOffset>
            </wp:positionV>
            <wp:extent cx="7161530" cy="134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-930275</wp:posOffset>
            </wp:positionV>
            <wp:extent cx="7161530" cy="134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-660400</wp:posOffset>
            </wp:positionV>
            <wp:extent cx="7161530" cy="134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-391160</wp:posOffset>
            </wp:positionV>
            <wp:extent cx="7161530" cy="134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-121920</wp:posOffset>
            </wp:positionV>
            <wp:extent cx="7161530" cy="134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-1219835</wp:posOffset>
            </wp:positionV>
            <wp:extent cx="7161530" cy="154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2480" w:type="dxa"/>
            <w:vAlign w:val="bottom"/>
            <w:gridSpan w:val="4"/>
          </w:tcPr>
          <w:p>
            <w:pPr>
              <w:ind w:left="60"/>
              <w:spacing w:after="0"/>
              <w:rPr>
                <w:sz w:val="20"/>
                <w:szCs w:val="20"/>
                <w:color w:val="auto"/>
              </w:rPr>
            </w:pPr>
            <w:r>
              <w:rPr>
                <w:rFonts w:ascii="Arial" w:cs="Arial" w:eastAsia="Arial" w:hAnsi="Arial"/>
                <w:sz w:val="11"/>
                <w:szCs w:val="11"/>
                <w:b w:val="1"/>
                <w:bCs w:val="1"/>
                <w:color w:val="auto"/>
              </w:rPr>
              <w:t>Three Months Ended March 31,</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49"/>
        </w:trPr>
        <w:tc>
          <w:tcPr>
            <w:tcW w:w="940" w:type="dxa"/>
            <w:vAlign w:val="bottom"/>
          </w:tcPr>
          <w:p>
            <w:pPr>
              <w:jc w:val="right"/>
              <w:ind w:right="611"/>
              <w:spacing w:after="0"/>
              <w:rPr>
                <w:sz w:val="20"/>
                <w:szCs w:val="20"/>
                <w:color w:val="auto"/>
              </w:rPr>
            </w:pPr>
            <w:r>
              <w:rPr>
                <w:rFonts w:ascii="Arial" w:cs="Arial" w:eastAsia="Arial" w:hAnsi="Arial"/>
                <w:sz w:val="11"/>
                <w:szCs w:val="11"/>
                <w:b w:val="1"/>
                <w:bCs w:val="1"/>
                <w:color w:val="auto"/>
                <w:w w:val="97"/>
              </w:rPr>
              <w:t>2025</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12"/>
                <w:szCs w:val="12"/>
                <w:color w:val="auto"/>
              </w:rPr>
            </w:pPr>
          </w:p>
        </w:tc>
        <w:tc>
          <w:tcPr>
            <w:tcW w:w="14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 Change</w:t>
            </w:r>
          </w:p>
        </w:tc>
      </w:tr>
      <w:tr>
        <w:trPr>
          <w:trHeight w:val="385"/>
        </w:trPr>
        <w:tc>
          <w:tcPr>
            <w:tcW w:w="940" w:type="dxa"/>
            <w:vAlign w:val="bottom"/>
          </w:tcPr>
          <w:p>
            <w:pPr>
              <w:jc w:val="right"/>
              <w:ind w:right="191"/>
              <w:spacing w:after="0"/>
              <w:rPr>
                <w:sz w:val="20"/>
                <w:szCs w:val="20"/>
                <w:color w:val="auto"/>
              </w:rPr>
            </w:pPr>
            <w:r>
              <w:rPr>
                <w:rFonts w:ascii="Arial" w:cs="Arial" w:eastAsia="Arial" w:hAnsi="Arial"/>
                <w:sz w:val="14"/>
                <w:szCs w:val="14"/>
                <w:color w:val="auto"/>
              </w:rPr>
              <w:t>67,563</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42,090</w:t>
            </w:r>
          </w:p>
        </w:tc>
        <w:tc>
          <w:tcPr>
            <w:tcW w:w="8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25,473</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60.5 %</w:t>
            </w:r>
          </w:p>
        </w:tc>
      </w:tr>
      <w:tr>
        <w:trPr>
          <w:trHeight w:val="212"/>
        </w:trPr>
        <w:tc>
          <w:tcPr>
            <w:tcW w:w="940" w:type="dxa"/>
            <w:vAlign w:val="bottom"/>
          </w:tcPr>
          <w:p>
            <w:pPr>
              <w:jc w:val="right"/>
              <w:ind w:right="191"/>
              <w:spacing w:after="0"/>
              <w:rPr>
                <w:sz w:val="20"/>
                <w:szCs w:val="20"/>
                <w:color w:val="auto"/>
              </w:rPr>
            </w:pPr>
            <w:r>
              <w:rPr>
                <w:rFonts w:ascii="Arial" w:cs="Arial" w:eastAsia="Arial" w:hAnsi="Arial"/>
                <w:sz w:val="14"/>
                <w:szCs w:val="14"/>
                <w:color w:val="auto"/>
              </w:rPr>
              <w:t>9,575</w:t>
            </w:r>
          </w:p>
        </w:tc>
        <w:tc>
          <w:tcPr>
            <w:tcW w:w="36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6,550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3,025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46.2 %</w:t>
            </w:r>
          </w:p>
        </w:tc>
      </w:tr>
      <w:tr>
        <w:trPr>
          <w:trHeight w:val="637"/>
        </w:trPr>
        <w:tc>
          <w:tcPr>
            <w:tcW w:w="940" w:type="dxa"/>
            <w:vAlign w:val="bottom"/>
          </w:tcPr>
          <w:p>
            <w:pPr>
              <w:jc w:val="right"/>
              <w:ind w:right="191"/>
              <w:spacing w:after="0"/>
              <w:rPr>
                <w:sz w:val="20"/>
                <w:szCs w:val="20"/>
                <w:color w:val="auto"/>
              </w:rPr>
            </w:pPr>
            <w:r>
              <w:rPr>
                <w:rFonts w:ascii="Arial" w:cs="Arial" w:eastAsia="Arial" w:hAnsi="Arial"/>
                <w:sz w:val="14"/>
                <w:szCs w:val="14"/>
                <w:color w:val="auto"/>
              </w:rPr>
              <w:t>5,799</w:t>
            </w:r>
          </w:p>
        </w:tc>
        <w:tc>
          <w:tcPr>
            <w:tcW w:w="36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4,720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1,079</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22.9 %</w:t>
            </w:r>
          </w:p>
        </w:tc>
      </w:tr>
      <w:tr>
        <w:trPr>
          <w:trHeight w:val="222"/>
        </w:trPr>
        <w:tc>
          <w:tcPr>
            <w:tcW w:w="940" w:type="dxa"/>
            <w:vAlign w:val="bottom"/>
          </w:tcPr>
          <w:p>
            <w:pPr>
              <w:jc w:val="right"/>
              <w:ind w:right="191"/>
              <w:spacing w:after="0"/>
              <w:rPr>
                <w:sz w:val="20"/>
                <w:szCs w:val="20"/>
                <w:color w:val="auto"/>
              </w:rPr>
            </w:pPr>
            <w:r>
              <w:rPr>
                <w:rFonts w:ascii="Arial" w:cs="Arial" w:eastAsia="Arial" w:hAnsi="Arial"/>
                <w:sz w:val="14"/>
                <w:szCs w:val="14"/>
                <w:color w:val="auto"/>
              </w:rPr>
              <w:t>1,744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1,813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352"/>
        </w:trPr>
        <w:tc>
          <w:tcPr>
            <w:tcW w:w="940" w:type="dxa"/>
            <w:vAlign w:val="bottom"/>
          </w:tcPr>
          <w:p>
            <w:pPr>
              <w:jc w:val="right"/>
              <w:ind w:right="191"/>
              <w:spacing w:after="0"/>
              <w:rPr>
                <w:sz w:val="20"/>
                <w:szCs w:val="20"/>
                <w:color w:val="auto"/>
              </w:rPr>
            </w:pPr>
            <w:r>
              <w:rPr>
                <w:rFonts w:ascii="Arial" w:cs="Arial" w:eastAsia="Arial" w:hAnsi="Arial"/>
                <w:sz w:val="14"/>
                <w:szCs w:val="14"/>
                <w:color w:val="auto"/>
              </w:rPr>
              <w:t>7,543</w:t>
            </w:r>
          </w:p>
        </w:tc>
        <w:tc>
          <w:tcPr>
            <w:tcW w:w="36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6,533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1,010</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15.5 %</w:t>
            </w:r>
          </w:p>
        </w:tc>
      </w:tr>
      <w:tr>
        <w:trPr>
          <w:trHeight w:val="424"/>
        </w:trPr>
        <w:tc>
          <w:tcPr>
            <w:tcW w:w="940" w:type="dxa"/>
            <w:vAlign w:val="bottom"/>
          </w:tcPr>
          <w:p>
            <w:pPr>
              <w:jc w:val="right"/>
              <w:ind w:right="191"/>
              <w:spacing w:after="0"/>
              <w:rPr>
                <w:sz w:val="20"/>
                <w:szCs w:val="20"/>
                <w:color w:val="auto"/>
              </w:rPr>
            </w:pPr>
            <w:r>
              <w:rPr>
                <w:rFonts w:ascii="Arial" w:cs="Arial" w:eastAsia="Arial" w:hAnsi="Arial"/>
                <w:sz w:val="14"/>
                <w:szCs w:val="14"/>
                <w:color w:val="auto"/>
              </w:rPr>
              <w:t>9,511</w:t>
            </w:r>
          </w:p>
        </w:tc>
        <w:tc>
          <w:tcPr>
            <w:tcW w:w="36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2,253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7,258</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322.1 %</w:t>
            </w:r>
          </w:p>
        </w:tc>
      </w:tr>
      <w:tr>
        <w:trPr>
          <w:trHeight w:val="212"/>
        </w:trPr>
        <w:tc>
          <w:tcPr>
            <w:tcW w:w="940" w:type="dxa"/>
            <w:vAlign w:val="bottom"/>
          </w:tcPr>
          <w:p>
            <w:pPr>
              <w:jc w:val="right"/>
              <w:ind w:right="191"/>
              <w:spacing w:after="0"/>
              <w:rPr>
                <w:sz w:val="20"/>
                <w:szCs w:val="20"/>
                <w:color w:val="auto"/>
              </w:rPr>
            </w:pPr>
            <w:r>
              <w:rPr>
                <w:rFonts w:ascii="Arial" w:cs="Arial" w:eastAsia="Arial" w:hAnsi="Arial"/>
                <w:sz w:val="14"/>
                <w:szCs w:val="14"/>
                <w:color w:val="auto"/>
              </w:rPr>
              <w:t>3,083</w:t>
            </w:r>
          </w:p>
        </w:tc>
        <w:tc>
          <w:tcPr>
            <w:tcW w:w="36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2,409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674</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28.0 %</w:t>
            </w:r>
          </w:p>
        </w:tc>
      </w:tr>
      <w:tr>
        <w:trPr>
          <w:trHeight w:val="212"/>
        </w:trPr>
        <w:tc>
          <w:tcPr>
            <w:tcW w:w="940" w:type="dxa"/>
            <w:vAlign w:val="bottom"/>
          </w:tcPr>
          <w:p>
            <w:pPr>
              <w:jc w:val="right"/>
              <w:ind w:right="191"/>
              <w:spacing w:after="0"/>
              <w:rPr>
                <w:sz w:val="20"/>
                <w:szCs w:val="20"/>
                <w:color w:val="auto"/>
              </w:rPr>
            </w:pPr>
            <w:r>
              <w:rPr>
                <w:rFonts w:ascii="Arial" w:cs="Arial" w:eastAsia="Arial" w:hAnsi="Arial"/>
                <w:sz w:val="14"/>
                <w:szCs w:val="14"/>
                <w:color w:val="auto"/>
              </w:rPr>
              <w:t>1,343</w:t>
            </w:r>
          </w:p>
        </w:tc>
        <w:tc>
          <w:tcPr>
            <w:tcW w:w="36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1,611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(268)</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(16.6)%</w:t>
            </w:r>
          </w:p>
        </w:tc>
      </w:tr>
      <w:tr>
        <w:trPr>
          <w:trHeight w:val="212"/>
        </w:trPr>
        <w:tc>
          <w:tcPr>
            <w:tcW w:w="940" w:type="dxa"/>
            <w:vAlign w:val="bottom"/>
          </w:tcPr>
          <w:p>
            <w:pPr>
              <w:jc w:val="right"/>
              <w:ind w:right="191"/>
              <w:spacing w:after="0"/>
              <w:rPr>
                <w:sz w:val="20"/>
                <w:szCs w:val="20"/>
                <w:color w:val="auto"/>
              </w:rPr>
            </w:pPr>
            <w:r>
              <w:rPr>
                <w:rFonts w:ascii="Arial" w:cs="Arial" w:eastAsia="Arial" w:hAnsi="Arial"/>
                <w:sz w:val="14"/>
                <w:szCs w:val="14"/>
                <w:color w:val="auto"/>
              </w:rPr>
              <w:t>2,167</w:t>
            </w:r>
          </w:p>
        </w:tc>
        <w:tc>
          <w:tcPr>
            <w:tcW w:w="36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1,400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767</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54.8 %</w:t>
            </w:r>
          </w:p>
        </w:tc>
      </w:tr>
      <w:tr>
        <w:trPr>
          <w:trHeight w:val="222"/>
        </w:trPr>
        <w:tc>
          <w:tcPr>
            <w:tcW w:w="940" w:type="dxa"/>
            <w:vAlign w:val="bottom"/>
          </w:tcPr>
          <w:p>
            <w:pPr>
              <w:jc w:val="right"/>
              <w:ind w:right="191"/>
              <w:spacing w:after="0"/>
              <w:rPr>
                <w:sz w:val="20"/>
                <w:szCs w:val="20"/>
                <w:color w:val="auto"/>
              </w:rPr>
            </w:pPr>
            <w:r>
              <w:rPr>
                <w:rFonts w:ascii="Arial" w:cs="Arial" w:eastAsia="Arial" w:hAnsi="Arial"/>
                <w:sz w:val="14"/>
                <w:szCs w:val="14"/>
                <w:color w:val="auto"/>
              </w:rPr>
              <w:t>14,386</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7,923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6,463</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81.6 %</w:t>
            </w:r>
          </w:p>
        </w:tc>
      </w:tr>
      <w:tr>
        <w:trPr>
          <w:trHeight w:val="212"/>
        </w:trPr>
        <w:tc>
          <w:tcPr>
            <w:tcW w:w="940" w:type="dxa"/>
            <w:vAlign w:val="bottom"/>
          </w:tcPr>
          <w:p>
            <w:pPr>
              <w:jc w:val="right"/>
              <w:ind w:right="191"/>
              <w:spacing w:after="0"/>
              <w:rPr>
                <w:sz w:val="20"/>
                <w:szCs w:val="20"/>
                <w:color w:val="auto"/>
              </w:rPr>
            </w:pPr>
            <w:r>
              <w:rPr>
                <w:rFonts w:ascii="Arial" w:cs="Arial" w:eastAsia="Arial" w:hAnsi="Arial"/>
                <w:sz w:val="14"/>
                <w:szCs w:val="14"/>
                <w:color w:val="auto"/>
              </w:rPr>
              <w:t>115,171</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70,769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44,402</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62.7 %</w:t>
            </w:r>
          </w:p>
        </w:tc>
      </w:tr>
      <w:tr>
        <w:trPr>
          <w:trHeight w:val="20"/>
        </w:trPr>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66"/>
        </w:trPr>
        <w:tc>
          <w:tcPr>
            <w:tcW w:w="940" w:type="dxa"/>
            <w:vAlign w:val="bottom"/>
          </w:tcPr>
          <w:p>
            <w:pPr>
              <w:jc w:val="right"/>
              <w:ind w:right="151"/>
              <w:spacing w:after="0"/>
              <w:rPr>
                <w:sz w:val="20"/>
                <w:szCs w:val="20"/>
                <w:color w:val="auto"/>
              </w:rPr>
            </w:pPr>
            <w:r>
              <w:rPr>
                <w:rFonts w:ascii="Arial" w:cs="Arial" w:eastAsia="Arial" w:hAnsi="Arial"/>
                <w:sz w:val="14"/>
                <w:szCs w:val="14"/>
                <w:color w:val="auto"/>
              </w:rPr>
              <w:t>(2,679)</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8,735</w:t>
            </w:r>
          </w:p>
        </w:tc>
        <w:tc>
          <w:tcPr>
            <w:tcW w:w="8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(11,414)</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-249555</wp:posOffset>
            </wp:positionV>
            <wp:extent cx="92964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929640" cy="698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-1462405</wp:posOffset>
            </wp:positionV>
            <wp:extent cx="92964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929640" cy="698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-2506345</wp:posOffset>
            </wp:positionV>
            <wp:extent cx="190690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906905" cy="6985"/>
                    </a:xfrm>
                    <a:prstGeom prst="rect">
                      <a:avLst/>
                    </a:prstGeom>
                    <a:noFill/>
                  </pic:spPr>
                </pic:pic>
              </a:graphicData>
            </a:graphic>
          </wp:anchor>
        </w:drawing>
      </w:r>
    </w:p>
    <w:p>
      <w:pPr>
        <w:spacing w:after="0" w:line="6"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1000" w:type="dxa"/>
            <w:vAlign w:val="bottom"/>
          </w:tcPr>
          <w:p>
            <w:pPr>
              <w:jc w:val="right"/>
              <w:ind w:right="469"/>
              <w:spacing w:after="0"/>
              <w:rPr>
                <w:sz w:val="20"/>
                <w:szCs w:val="20"/>
                <w:color w:val="auto"/>
              </w:rPr>
            </w:pPr>
            <w:r>
              <w:rPr>
                <w:rFonts w:ascii="Arial" w:cs="Arial" w:eastAsia="Arial" w:hAnsi="Arial"/>
                <w:sz w:val="14"/>
                <w:szCs w:val="14"/>
                <w:color w:val="auto"/>
              </w:rPr>
              <w:t>8.2 %</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25.0 %</w:t>
            </w:r>
          </w:p>
        </w:tc>
        <w:tc>
          <w:tcPr>
            <w:tcW w:w="1620" w:type="dxa"/>
            <w:vAlign w:val="bottom"/>
          </w:tcPr>
          <w:p>
            <w:pPr>
              <w:jc w:val="right"/>
              <w:ind w:right="469"/>
              <w:spacing w:after="0"/>
              <w:rPr>
                <w:sz w:val="20"/>
                <w:szCs w:val="20"/>
                <w:color w:val="auto"/>
              </w:rPr>
            </w:pPr>
            <w:r>
              <w:rPr>
                <w:rFonts w:ascii="Arial" w:cs="Arial" w:eastAsia="Arial" w:hAnsi="Arial"/>
                <w:sz w:val="14"/>
                <w:szCs w:val="14"/>
                <w:color w:val="auto"/>
              </w:rPr>
              <w:t>(1,680) bps</w:t>
            </w:r>
          </w:p>
        </w:tc>
        <w:tc>
          <w:tcPr>
            <w:tcW w:w="980" w:type="dxa"/>
            <w:vAlign w:val="bottom"/>
          </w:tcPr>
          <w:p>
            <w:pPr>
              <w:spacing w:after="0"/>
              <w:rPr>
                <w:sz w:val="16"/>
                <w:szCs w:val="16"/>
                <w:color w:val="auto"/>
              </w:rPr>
            </w:pPr>
          </w:p>
        </w:tc>
      </w:tr>
      <w:tr>
        <w:trPr>
          <w:trHeight w:val="424"/>
        </w:trPr>
        <w:tc>
          <w:tcPr>
            <w:tcW w:w="1000" w:type="dxa"/>
            <w:vAlign w:val="bottom"/>
          </w:tcPr>
          <w:p>
            <w:pPr>
              <w:jc w:val="right"/>
              <w:ind w:right="469"/>
              <w:spacing w:after="0"/>
              <w:rPr>
                <w:sz w:val="20"/>
                <w:szCs w:val="20"/>
                <w:color w:val="auto"/>
              </w:rPr>
            </w:pPr>
            <w:r>
              <w:rPr>
                <w:rFonts w:ascii="Arial" w:cs="Arial" w:eastAsia="Arial" w:hAnsi="Arial"/>
                <w:sz w:val="14"/>
                <w:szCs w:val="14"/>
                <w:color w:val="auto"/>
              </w:rPr>
              <w:t>79.4 %</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58.1 %</w:t>
            </w:r>
          </w:p>
        </w:tc>
        <w:tc>
          <w:tcPr>
            <w:tcW w:w="1620" w:type="dxa"/>
            <w:vAlign w:val="bottom"/>
          </w:tcPr>
          <w:p>
            <w:pPr>
              <w:jc w:val="right"/>
              <w:ind w:right="469"/>
              <w:spacing w:after="0"/>
              <w:rPr>
                <w:sz w:val="20"/>
                <w:szCs w:val="20"/>
                <w:color w:val="auto"/>
              </w:rPr>
            </w:pPr>
            <w:r>
              <w:rPr>
                <w:rFonts w:ascii="Arial" w:cs="Arial" w:eastAsia="Arial" w:hAnsi="Arial"/>
                <w:sz w:val="14"/>
                <w:szCs w:val="14"/>
                <w:color w:val="auto"/>
              </w:rPr>
              <w:t>2,130 bps</w:t>
            </w:r>
          </w:p>
        </w:tc>
        <w:tc>
          <w:tcPr>
            <w:tcW w:w="980" w:type="dxa"/>
            <w:vAlign w:val="bottom"/>
          </w:tcPr>
          <w:p>
            <w:pPr>
              <w:spacing w:after="0"/>
              <w:rPr>
                <w:sz w:val="24"/>
                <w:szCs w:val="24"/>
                <w:color w:val="auto"/>
              </w:rPr>
            </w:pPr>
          </w:p>
        </w:tc>
      </w:tr>
      <w:tr>
        <w:trPr>
          <w:trHeight w:val="212"/>
        </w:trPr>
        <w:tc>
          <w:tcPr>
            <w:tcW w:w="1000" w:type="dxa"/>
            <w:vAlign w:val="bottom"/>
          </w:tcPr>
          <w:p>
            <w:pPr>
              <w:jc w:val="right"/>
              <w:ind w:right="469"/>
              <w:spacing w:after="0"/>
              <w:rPr>
                <w:sz w:val="20"/>
                <w:szCs w:val="20"/>
                <w:color w:val="auto"/>
              </w:rPr>
            </w:pPr>
            <w:r>
              <w:rPr>
                <w:rFonts w:ascii="Arial" w:cs="Arial" w:eastAsia="Arial" w:hAnsi="Arial"/>
                <w:sz w:val="14"/>
                <w:szCs w:val="14"/>
                <w:color w:val="auto"/>
              </w:rPr>
              <w:t>58.7 %</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62.3 %</w:t>
            </w:r>
          </w:p>
        </w:tc>
        <w:tc>
          <w:tcPr>
            <w:tcW w:w="1620" w:type="dxa"/>
            <w:vAlign w:val="bottom"/>
          </w:tcPr>
          <w:p>
            <w:pPr>
              <w:jc w:val="right"/>
              <w:ind w:right="469"/>
              <w:spacing w:after="0"/>
              <w:rPr>
                <w:sz w:val="20"/>
                <w:szCs w:val="20"/>
                <w:color w:val="auto"/>
              </w:rPr>
            </w:pPr>
            <w:r>
              <w:rPr>
                <w:rFonts w:ascii="Arial" w:cs="Arial" w:eastAsia="Arial" w:hAnsi="Arial"/>
                <w:sz w:val="14"/>
                <w:szCs w:val="14"/>
                <w:color w:val="auto"/>
              </w:rPr>
              <w:t>(360) bps</w:t>
            </w:r>
          </w:p>
        </w:tc>
        <w:tc>
          <w:tcPr>
            <w:tcW w:w="980" w:type="dxa"/>
            <w:vAlign w:val="bottom"/>
          </w:tcPr>
          <w:p>
            <w:pPr>
              <w:spacing w:after="0"/>
              <w:rPr>
                <w:sz w:val="18"/>
                <w:szCs w:val="18"/>
                <w:color w:val="auto"/>
              </w:rPr>
            </w:pPr>
          </w:p>
        </w:tc>
      </w:tr>
      <w:tr>
        <w:trPr>
          <w:trHeight w:val="424"/>
        </w:trPr>
        <w:tc>
          <w:tcPr>
            <w:tcW w:w="1000" w:type="dxa"/>
            <w:vAlign w:val="bottom"/>
          </w:tcPr>
          <w:p>
            <w:pPr>
              <w:jc w:val="right"/>
              <w:ind w:right="469"/>
              <w:spacing w:after="0"/>
              <w:rPr>
                <w:sz w:val="20"/>
                <w:szCs w:val="20"/>
                <w:color w:val="auto"/>
              </w:rPr>
            </w:pPr>
            <w:r>
              <w:rPr>
                <w:rFonts w:ascii="Arial" w:cs="Arial" w:eastAsia="Arial" w:hAnsi="Arial"/>
                <w:sz w:val="14"/>
                <w:szCs w:val="14"/>
                <w:color w:val="auto"/>
              </w:rPr>
              <w:t>1,965</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1,464</w:t>
            </w:r>
          </w:p>
        </w:tc>
        <w:tc>
          <w:tcPr>
            <w:tcW w:w="1620" w:type="dxa"/>
            <w:vAlign w:val="bottom"/>
          </w:tcPr>
          <w:p>
            <w:pPr>
              <w:jc w:val="right"/>
              <w:ind w:right="469"/>
              <w:spacing w:after="0"/>
              <w:rPr>
                <w:sz w:val="20"/>
                <w:szCs w:val="20"/>
                <w:color w:val="auto"/>
              </w:rPr>
            </w:pPr>
            <w:r>
              <w:rPr>
                <w:rFonts w:ascii="Arial" w:cs="Arial" w:eastAsia="Arial" w:hAnsi="Arial"/>
                <w:sz w:val="14"/>
                <w:szCs w:val="14"/>
                <w:color w:val="auto"/>
              </w:rPr>
              <w:t>501</w:t>
            </w:r>
          </w:p>
        </w:tc>
        <w:tc>
          <w:tcPr>
            <w:tcW w:w="980" w:type="dxa"/>
            <w:vAlign w:val="bottom"/>
          </w:tcPr>
          <w:p>
            <w:pPr>
              <w:jc w:val="right"/>
              <w:spacing w:after="0"/>
              <w:rPr>
                <w:sz w:val="20"/>
                <w:szCs w:val="20"/>
                <w:color w:val="auto"/>
              </w:rPr>
            </w:pPr>
            <w:r>
              <w:rPr>
                <w:rFonts w:ascii="Arial" w:cs="Arial" w:eastAsia="Arial" w:hAnsi="Arial"/>
                <w:sz w:val="14"/>
                <w:szCs w:val="14"/>
                <w:color w:val="auto"/>
              </w:rPr>
              <w:t>34.2 %</w:t>
            </w:r>
          </w:p>
        </w:tc>
      </w:tr>
    </w:tbl>
    <w:p>
      <w:pPr>
        <w:spacing w:after="0" w:line="88" w:lineRule="exact"/>
        <w:rPr>
          <w:sz w:val="20"/>
          <w:szCs w:val="20"/>
          <w:color w:val="auto"/>
        </w:rPr>
      </w:pPr>
    </w:p>
    <w:p>
      <w:pPr>
        <w:sectPr>
          <w:pgSz w:w="11900" w:h="16838" w:orient="portrait"/>
          <w:cols w:equalWidth="0" w:num="2">
            <w:col w:w="5420" w:space="500"/>
            <w:col w:w="5360"/>
          </w:cols>
          <w:pgMar w:left="300" w:top="263" w:right="31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380" w:hanging="248"/>
        <w:spacing w:after="0" w:line="284" w:lineRule="auto"/>
        <w:tabs>
          <w:tab w:leader="none" w:pos="4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 xml:space="preserve">The efficiency ratio and adjusted efficiency ratio are non-GAAP financial measures. For a reconciliation of non-GAAP measures to the most directly comparable financial GAAP measures, see </w:t>
      </w:r>
      <w:r>
        <w:rPr>
          <w:rFonts w:ascii="Arial" w:cs="Arial" w:eastAsia="Arial" w:hAnsi="Arial"/>
          <w:sz w:val="11"/>
          <w:szCs w:val="11"/>
          <w:i w:val="1"/>
          <w:iCs w:val="1"/>
          <w:color w:val="auto"/>
        </w:rPr>
        <w:t>“</w:t>
      </w:r>
      <w:r>
        <w:rPr>
          <w:rFonts w:ascii="Arial" w:cs="Arial" w:eastAsia="Arial" w:hAnsi="Arial"/>
          <w:sz w:val="11"/>
          <w:szCs w:val="11"/>
          <w:i w:val="1"/>
          <w:iCs w:val="1"/>
          <w:u w:val="single" w:color="auto"/>
          <w:color w:val="0000FF"/>
        </w:rPr>
        <w:t>Item 2. Management’s</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0000FF"/>
        </w:rPr>
        <w:t>Discussion and Analysis—Non-GAAP Financial Information</w:t>
      </w:r>
      <w:r>
        <w:rPr>
          <w:rFonts w:ascii="Arial" w:cs="Arial" w:eastAsia="Arial" w:hAnsi="Arial"/>
          <w:sz w:val="11"/>
          <w:szCs w:val="11"/>
          <w:i w:val="1"/>
          <w:iCs w:val="1"/>
          <w:color w:val="000000"/>
        </w:rPr>
        <w:t>”</w:t>
      </w:r>
      <w:r>
        <w:rPr>
          <w:rFonts w:ascii="Arial" w:cs="Arial" w:eastAsia="Arial" w:hAnsi="Arial"/>
          <w:sz w:val="11"/>
          <w:szCs w:val="11"/>
          <w:i w:val="1"/>
          <w:iCs w:val="1"/>
          <w:color w:val="0000FF"/>
        </w:rPr>
        <w:t xml:space="preserve"> </w:t>
      </w:r>
      <w:r>
        <w:rPr>
          <w:rFonts w:ascii="Arial" w:cs="Arial" w:eastAsia="Arial" w:hAnsi="Arial"/>
          <w:sz w:val="11"/>
          <w:szCs w:val="11"/>
          <w:color w:val="000000"/>
        </w:rPr>
        <w:t>included in this Quarterly Report.</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Total noninterest expense was $115.2 million for the three months ended March 31, 2025, a 62.7% increase from the comparable period in 2024. Growth in noninterest expense was primarily attributable to non-recurring acquisition expenses related to the CrossFirst acquisition as well as added costs for operating expenses for two banks during one month of the quarter. Pre-tax non-operating acquisition and restructuring expenses contributed $29.2 million to total noninterest expense for the three months ended March 31, 2025, compared to $0.4 million for the comparable period in 2024. Excluding non-operating expenses, noninterest expense was $86.0 million for the three months ended March 31, 2025, a 22.2% increase from the comparable period in 2024.</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Annual pre-tax expense synergy estimates resulting from the CrossFirst acquisition remain on track at an estimated $25.0 million when fully realized. Busey anticipates a 50% rate of synergy realization in 2025 and 100% in 2026.</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type w:val="continuous"/>
        </w:sectPr>
      </w:pPr>
    </w:p>
    <w:bookmarkStart w:id="76" w:name="page77"/>
    <w:bookmarkEnd w:id="76"/>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Salaries, wages, and employee benefits were $67.6 million for the three months ended March 31, 2025, a 60.5% increase from the comparable period in 2024. Increases were partially attributable to non-operating expenses, with additional severance, retention, and stock-based compensation. Excluding non-operating expenses, salaries, wages, and employee benefits were $51.7 million for the three months ended March 31, 2025, a 23.2% increase from $42.0 million in the comparable period in 2024. Busey has added 501 full time equivalent associates (“FTEs”) over the past year, mostly as a result of acquisitions, including 437 CrossFirst Bank FTEs added in March 2025 and 46 M&amp;M Bank FTEs added in April 2024.</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Data processing expense was $9.6 million for the three months ended March 31, 2025, a 46.2% increase from the comparable period in 2024. Excluding non-operating expenses, data processing expense was $7.3 million for the three months ended March 31, 2025, a 12.8% increase from the comparable period in 2024. Increases were primarily attributable to Company-wide investments in technology enhancements, including increases related to operating two banks for one month during the quarter, as well as inflation-driven price increases.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Combined, net occupancy expense of premises and furniture and equipment expense totaled $7.5 million for the three months ended March 31, 2025, a 15.5% increase from the comparable period in 2024. Primary cost drivers in these expense categories include lease costs, repairs and maintenance, depreciation expense, real estate taxes, and utilities. CrossFirst Bank added 16 banking centers in the first quarter of 2025 and M&amp;M Bank added four banking centers in the second quarter of 2024.</w:t>
      </w:r>
    </w:p>
    <w:p>
      <w:pPr>
        <w:spacing w:after="0" w:line="10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Professional fees were $9.5 million for the three months ended March 31, 2025, a 322.1% increase from the comparable period in 2024. Excluding non-operating expenses, professional fees were $2.2 million for the three months ended March 31, 2025, a 4.8% increase from the comparable period in 2024, primarily as a result of increases in legal costs.</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Amortization of intangible assets was $3.1 million for the three months ended March 31, 2025, a 28.0% increase from the comparable period for 2024. The CrossFirst acquisition added an estimated $81.8 million of finite-lived intangible assets, which will be amortized using an accelerated amortization methodology.</w:t>
      </w:r>
    </w:p>
    <w:p>
      <w:pPr>
        <w:spacing w:after="0" w:line="8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Interchange expense was $1.3 million for the three months ended March 31, 2025, a 16.6% decrease from the comparable period in 2024. Fluctuations in interchange expense relate to payment and volume activity at FirsTech.</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FDIC insurance expense was $2.2 million for the three months ended March 31, 2025, a 54.8% increase from the comparable period in 2024 due to the CrossFirst acquisition.</w:t>
      </w:r>
    </w:p>
    <w:p>
      <w:pPr>
        <w:spacing w:after="0" w:line="1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Other noninterest expense was $14.4 million for the three months ended March 31, 2025, an 81.6% increase from the comparable period in 2024. Excluding non-operating expenses, other noninterest expense was $10.7 million for the three months ended March 31, 2025, a 35.2% increase from $7.9 million for the comparable period in 2024. Changes in other noninterest expense are attributable to multiple items, including marketing and business development, other real estate owned, and fluctuations in the provision for unfunded commitments outside of the non-operating Day 2 provision recorded in connection with the CrossFirst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Efficiency Ratio</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efficiency ratio</w:t>
      </w:r>
      <w:r>
        <w:rPr>
          <w:rFonts w:ascii="Arial" w:cs="Arial" w:eastAsia="Arial" w:hAnsi="Arial"/>
          <w:sz w:val="18"/>
          <w:szCs w:val="18"/>
          <w:color w:val="auto"/>
          <w:vertAlign w:val="superscript"/>
        </w:rPr>
        <w:t>2</w:t>
      </w:r>
      <w:r>
        <w:rPr>
          <w:rFonts w:ascii="Arial" w:cs="Arial" w:eastAsia="Arial" w:hAnsi="Arial"/>
          <w:sz w:val="14"/>
          <w:szCs w:val="14"/>
          <w:color w:val="auto"/>
        </w:rPr>
        <w:t>, which is a measure commonly used by management and the banking industry, measures the amount of expense incurred to generate a dollar of revenue.</w:t>
      </w:r>
    </w:p>
    <w:p>
      <w:pPr>
        <w:spacing w:after="0"/>
        <w:rPr>
          <w:sz w:val="20"/>
          <w:szCs w:val="20"/>
          <w:color w:val="auto"/>
        </w:rPr>
      </w:pPr>
      <w:r>
        <w:rPr>
          <w:rFonts w:ascii="Arial" w:cs="Arial" w:eastAsia="Arial" w:hAnsi="Arial"/>
          <w:sz w:val="14"/>
          <w:szCs w:val="14"/>
          <w:color w:val="auto"/>
        </w:rPr>
        <w:t>Busey’s efficiency ratio was 79.4% for the three months ended March 31, 2025, compared to 58.1% for the same period in 2024.</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Busey’s adjusted efficiency ratio</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was 58.7% for the three months ended March 31, 2025, compared to 62.3% for the same period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177863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272" w:lineRule="exact"/>
        <w:rPr>
          <w:sz w:val="20"/>
          <w:szCs w:val="20"/>
          <w:color w:val="auto"/>
        </w:rPr>
      </w:pPr>
    </w:p>
    <w:p>
      <w:pPr>
        <w:ind w:left="140" w:hanging="135"/>
        <w:spacing w:after="0" w:line="213" w:lineRule="auto"/>
        <w:tabs>
          <w:tab w:leader="none" w:pos="113" w:val="left"/>
        </w:tabs>
        <w:numPr>
          <w:ilvl w:val="0"/>
          <w:numId w:val="28"/>
        </w:numPr>
        <w:rPr>
          <w:rFonts w:ascii="Arial" w:cs="Arial" w:eastAsia="Arial" w:hAnsi="Arial"/>
          <w:sz w:val="18"/>
          <w:szCs w:val="18"/>
          <w:color w:val="auto"/>
          <w:vertAlign w:val="superscript"/>
        </w:rPr>
      </w:pPr>
      <w:r>
        <w:rPr>
          <w:rFonts w:ascii="Arial" w:cs="Arial" w:eastAsia="Arial" w:hAnsi="Arial"/>
          <w:sz w:val="11"/>
          <w:szCs w:val="11"/>
          <w:color w:val="auto"/>
        </w:rPr>
        <w:t>The efficiency ratio and adjusted efficiency ratio are non-GAAP financial measures. For a reconciliation of non-GAAP measures to the most directly comparable GAAP financial measures, see “</w:t>
      </w:r>
      <w:r>
        <w:rPr>
          <w:rFonts w:ascii="Arial" w:cs="Arial" w:eastAsia="Arial" w:hAnsi="Arial"/>
          <w:sz w:val="11"/>
          <w:szCs w:val="11"/>
          <w:u w:val="single" w:color="auto"/>
          <w:color w:val="0000FF"/>
        </w:rPr>
        <w:t>Item 2. Management’s</w:t>
      </w:r>
      <w:r>
        <w:rPr>
          <w:rFonts w:ascii="Arial" w:cs="Arial" w:eastAsia="Arial" w:hAnsi="Arial"/>
          <w:sz w:val="11"/>
          <w:szCs w:val="11"/>
          <w:color w:val="auto"/>
        </w:rPr>
        <w:t xml:space="preserve"> </w:t>
      </w:r>
      <w:r>
        <w:rPr>
          <w:rFonts w:ascii="Arial" w:cs="Arial" w:eastAsia="Arial" w:hAnsi="Arial"/>
          <w:sz w:val="11"/>
          <w:szCs w:val="11"/>
          <w:u w:val="single" w:color="auto"/>
          <w:color w:val="0000FF"/>
        </w:rPr>
        <w:t>Discussion and Analysis—Non-GAAP Financial Information</w:t>
      </w:r>
      <w:r>
        <w:rPr>
          <w:rFonts w:ascii="Arial" w:cs="Arial" w:eastAsia="Arial" w:hAnsi="Arial"/>
          <w:sz w:val="11"/>
          <w:szCs w:val="11"/>
          <w:color w:val="000000"/>
        </w:rPr>
        <w:t>” included in this Quarterly Report.</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77" w:name="page78"/>
    <w:bookmarkEnd w:id="77"/>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Taxes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Busey’s effective income tax rate was 8.2% for the three months ended March 31, 2025. A $4.6 million non-recurring deferred tax valuation expense was recorded in connection with the CrossFirst acquisition, which is expected to lower the effective blended state tax rate in future periods but created a negative adjustment to the carrying value of the deferred tax asset in the current period.</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 continues to monitor evolving federal and state tax legislation and its potential impact on operations on an ongoing basis. As of March 31, 2025, Busey Bank was under examination by the Florida Department of Revenue for its 2020 to 2022 corporate income tax filings and by the Illinois Department of Revenue for M&amp;M’s tax filings for the tax years 2022 and 2023.</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Changes in significant items on Busey’s </w:t>
      </w:r>
      <w:r>
        <w:rPr>
          <w:rFonts w:ascii="Arial" w:cs="Arial" w:eastAsia="Arial" w:hAnsi="Arial"/>
          <w:sz w:val="14"/>
          <w:szCs w:val="14"/>
          <w:u w:val="single" w:color="auto"/>
          <w:color w:val="0000FF"/>
        </w:rPr>
        <w:t>Consolidated Balance Sheets (Unaudited)</w:t>
      </w:r>
      <w:r>
        <w:rPr>
          <w:rFonts w:ascii="Arial" w:cs="Arial" w:eastAsia="Arial" w:hAnsi="Arial"/>
          <w:sz w:val="14"/>
          <w:szCs w:val="14"/>
          <w:color w:val="auto"/>
        </w:rPr>
        <w:t xml:space="preserve"> are summarized as follows as of each of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4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18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240" w:type="dxa"/>
            <w:vAlign w:val="bottom"/>
            <w:gridSpan w:val="2"/>
          </w:tcPr>
          <w:p>
            <w:pPr>
              <w:ind w:left="120"/>
              <w:spacing w:after="0" w:line="107" w:lineRule="exact"/>
              <w:rPr>
                <w:sz w:val="20"/>
                <w:szCs w:val="20"/>
                <w:color w:val="auto"/>
              </w:rPr>
            </w:pPr>
            <w:r>
              <w:rPr>
                <w:rFonts w:ascii="Arial" w:cs="Arial" w:eastAsia="Arial" w:hAnsi="Arial"/>
                <w:sz w:val="11"/>
                <w:szCs w:val="11"/>
                <w:b w:val="1"/>
                <w:bCs w:val="1"/>
                <w:color w:val="auto"/>
              </w:rPr>
              <w:t>December 31,</w:t>
            </w:r>
          </w:p>
        </w:tc>
        <w:tc>
          <w:tcPr>
            <w:tcW w:w="280" w:type="dxa"/>
            <w:vAlign w:val="bottom"/>
          </w:tcPr>
          <w:p>
            <w:pPr>
              <w:spacing w:after="0"/>
              <w:rPr>
                <w:sz w:val="9"/>
                <w:szCs w:val="9"/>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9"/>
                <w:szCs w:val="9"/>
                <w:color w:val="auto"/>
              </w:rPr>
            </w:pPr>
          </w:p>
        </w:tc>
        <w:tc>
          <w:tcPr>
            <w:tcW w:w="1480" w:type="dxa"/>
            <w:vAlign w:val="bottom"/>
            <w:vMerge w:val="restart"/>
          </w:tcPr>
          <w:p>
            <w:pPr>
              <w:jc w:val="right"/>
              <w:ind w:right="403"/>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38"/>
        </w:trPr>
        <w:tc>
          <w:tcPr>
            <w:tcW w:w="548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4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8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140"/>
              <w:spacing w:after="0"/>
              <w:rPr>
                <w:sz w:val="20"/>
                <w:szCs w:val="20"/>
                <w:color w:val="auto"/>
              </w:rPr>
            </w:pPr>
            <w:r>
              <w:rPr>
                <w:rFonts w:ascii="Arial" w:cs="Arial" w:eastAsia="Arial" w:hAnsi="Arial"/>
                <w:sz w:val="14"/>
                <w:szCs w:val="14"/>
                <w:color w:val="auto"/>
              </w:rPr>
              <w:t>Debt securities available for sale</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2,273,874</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1,810,221</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463,653</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25.6 %</w:t>
            </w:r>
          </w:p>
        </w:tc>
        <w:tc>
          <w:tcPr>
            <w:tcW w:w="0" w:type="dxa"/>
            <w:vAlign w:val="bottom"/>
          </w:tcPr>
          <w:p>
            <w:pPr>
              <w:spacing w:after="0"/>
              <w:rPr>
                <w:sz w:val="1"/>
                <w:szCs w:val="1"/>
                <w:color w:val="auto"/>
              </w:rPr>
            </w:pPr>
          </w:p>
        </w:tc>
      </w:tr>
      <w:tr>
        <w:trPr>
          <w:trHeight w:val="222"/>
        </w:trPr>
        <w:tc>
          <w:tcPr>
            <w:tcW w:w="54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Debt securities held to maturity</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815,402</w:t>
            </w: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826,630</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(11,228)</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2"/>
        </w:trPr>
        <w:tc>
          <w:tcPr>
            <w:tcW w:w="5480" w:type="dxa"/>
            <w:vAlign w:val="bottom"/>
          </w:tcPr>
          <w:p>
            <w:pPr>
              <w:ind w:left="140"/>
              <w:spacing w:after="0"/>
              <w:rPr>
                <w:sz w:val="20"/>
                <w:szCs w:val="20"/>
                <w:color w:val="auto"/>
              </w:rPr>
            </w:pPr>
            <w:r>
              <w:rPr>
                <w:rFonts w:ascii="Arial" w:cs="Arial" w:eastAsia="Arial" w:hAnsi="Arial"/>
                <w:sz w:val="14"/>
                <w:szCs w:val="14"/>
                <w:color w:val="auto"/>
              </w:rPr>
              <w:t>Portfolio loans, net of ACL</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13,673,147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7,613,683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6,059,464</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79.6 %</w:t>
            </w:r>
          </w:p>
        </w:tc>
        <w:tc>
          <w:tcPr>
            <w:tcW w:w="0" w:type="dxa"/>
            <w:vAlign w:val="bottom"/>
          </w:tcPr>
          <w:p>
            <w:pPr>
              <w:spacing w:after="0"/>
              <w:rPr>
                <w:sz w:val="1"/>
                <w:szCs w:val="1"/>
                <w:color w:val="auto"/>
              </w:rPr>
            </w:pPr>
          </w:p>
        </w:tc>
      </w:tr>
      <w:tr>
        <w:trPr>
          <w:trHeight w:val="222"/>
        </w:trPr>
        <w:tc>
          <w:tcPr>
            <w:tcW w:w="548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assets</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19,464,252</w:t>
            </w: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12,046,722</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7,417,530</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61.6 %</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48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140"/>
              <w:spacing w:after="0"/>
              <w:rPr>
                <w:sz w:val="20"/>
                <w:szCs w:val="20"/>
                <w:color w:val="auto"/>
              </w:rPr>
            </w:pPr>
            <w:r>
              <w:rPr>
                <w:rFonts w:ascii="Arial" w:cs="Arial" w:eastAsia="Arial" w:hAnsi="Arial"/>
                <w:sz w:val="14"/>
                <w:szCs w:val="14"/>
                <w:color w:val="auto"/>
              </w:rPr>
              <w:t>Deposits: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80" w:type="dxa"/>
            <w:vAlign w:val="bottom"/>
            <w:shd w:val="clear" w:color="auto" w:fill="E0E7ED"/>
          </w:tcPr>
          <w:p>
            <w:pPr>
              <w:ind w:left="280"/>
              <w:spacing w:after="0"/>
              <w:rPr>
                <w:sz w:val="20"/>
                <w:szCs w:val="20"/>
                <w:color w:val="auto"/>
              </w:rPr>
            </w:pPr>
            <w:r>
              <w:rPr>
                <w:rFonts w:ascii="Arial" w:cs="Arial" w:eastAsia="Arial" w:hAnsi="Arial"/>
                <w:sz w:val="14"/>
                <w:szCs w:val="14"/>
                <w:color w:val="auto"/>
              </w:rPr>
              <w:t>Noninterest-bearing</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3,693,070</w:t>
            </w: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2,719,907</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973,163</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35.8 %</w:t>
            </w:r>
          </w:p>
        </w:tc>
        <w:tc>
          <w:tcPr>
            <w:tcW w:w="0" w:type="dxa"/>
            <w:vAlign w:val="bottom"/>
          </w:tcPr>
          <w:p>
            <w:pPr>
              <w:spacing w:after="0"/>
              <w:rPr>
                <w:sz w:val="1"/>
                <w:szCs w:val="1"/>
                <w:color w:val="auto"/>
              </w:rPr>
            </w:pPr>
          </w:p>
        </w:tc>
      </w:tr>
      <w:tr>
        <w:trPr>
          <w:trHeight w:val="203"/>
        </w:trPr>
        <w:tc>
          <w:tcPr>
            <w:tcW w:w="5480" w:type="dxa"/>
            <w:vAlign w:val="bottom"/>
            <w:tcBorders>
              <w:bottom w:val="single" w:sz="8" w:color="E0E7ED"/>
            </w:tcBorders>
          </w:tcPr>
          <w:p>
            <w:pPr>
              <w:ind w:left="280"/>
              <w:spacing w:after="0"/>
              <w:rPr>
                <w:sz w:val="20"/>
                <w:szCs w:val="20"/>
                <w:color w:val="auto"/>
              </w:rPr>
            </w:pPr>
            <w:r>
              <w:rPr>
                <w:rFonts w:ascii="Arial" w:cs="Arial" w:eastAsia="Arial" w:hAnsi="Arial"/>
                <w:sz w:val="14"/>
                <w:szCs w:val="14"/>
                <w:color w:val="auto"/>
              </w:rPr>
              <w:t>Interest-bearing</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12,766,400</w:t>
            </w:r>
          </w:p>
        </w:tc>
        <w:tc>
          <w:tcPr>
            <w:tcW w:w="8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7,262,583</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5,503,817</w:t>
            </w:r>
          </w:p>
        </w:tc>
        <w:tc>
          <w:tcPr>
            <w:tcW w:w="156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75.8 %</w:t>
            </w:r>
          </w:p>
        </w:tc>
        <w:tc>
          <w:tcPr>
            <w:tcW w:w="0" w:type="dxa"/>
            <w:vAlign w:val="bottom"/>
          </w:tcPr>
          <w:p>
            <w:pPr>
              <w:spacing w:after="0"/>
              <w:rPr>
                <w:sz w:val="1"/>
                <w:szCs w:val="1"/>
                <w:color w:val="auto"/>
              </w:rPr>
            </w:pPr>
          </w:p>
        </w:tc>
      </w:tr>
      <w:tr>
        <w:trPr>
          <w:trHeight w:val="212"/>
        </w:trPr>
        <w:tc>
          <w:tcPr>
            <w:tcW w:w="54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Total deposits</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16,459,470</w:t>
            </w: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9,982,490</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6,476,980</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64.9 %</w:t>
            </w:r>
          </w:p>
        </w:tc>
        <w:tc>
          <w:tcPr>
            <w:tcW w:w="0" w:type="dxa"/>
            <w:vAlign w:val="bottom"/>
          </w:tcPr>
          <w:p>
            <w:pPr>
              <w:spacing w:after="0"/>
              <w:rPr>
                <w:sz w:val="1"/>
                <w:szCs w:val="1"/>
                <w:color w:val="auto"/>
              </w:rPr>
            </w:pPr>
          </w:p>
        </w:tc>
      </w:tr>
      <w:tr>
        <w:trPr>
          <w:trHeight w:val="202"/>
        </w:trPr>
        <w:tc>
          <w:tcPr>
            <w:tcW w:w="5480" w:type="dxa"/>
            <w:vAlign w:val="bottom"/>
          </w:tcPr>
          <w:p>
            <w:pPr>
              <w:ind w:left="140"/>
              <w:spacing w:after="0"/>
              <w:rPr>
                <w:sz w:val="20"/>
                <w:szCs w:val="20"/>
                <w:color w:val="auto"/>
              </w:rPr>
            </w:pPr>
            <w:r>
              <w:rPr>
                <w:rFonts w:ascii="Arial" w:cs="Arial" w:eastAsia="Arial" w:hAnsi="Arial"/>
                <w:sz w:val="14"/>
                <w:szCs w:val="14"/>
                <w:color w:val="auto"/>
              </w:rPr>
              <w:t>Securities sold under agreements to repurchase</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137,340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155,610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(18,270)</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22"/>
        </w:trPr>
        <w:tc>
          <w:tcPr>
            <w:tcW w:w="54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Subordinated notes, net of unamortized issuance costs</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227,967</w:t>
            </w: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227,723</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244</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202"/>
        </w:trPr>
        <w:tc>
          <w:tcPr>
            <w:tcW w:w="5480" w:type="dxa"/>
            <w:vAlign w:val="bottom"/>
          </w:tcPr>
          <w:p>
            <w:pPr>
              <w:ind w:left="140"/>
              <w:spacing w:after="0"/>
              <w:rPr>
                <w:sz w:val="20"/>
                <w:szCs w:val="20"/>
                <w:color w:val="auto"/>
              </w:rPr>
            </w:pPr>
            <w:r>
              <w:rPr>
                <w:rFonts w:ascii="Arial" w:cs="Arial" w:eastAsia="Arial" w:hAnsi="Arial"/>
                <w:sz w:val="14"/>
                <w:szCs w:val="14"/>
                <w:color w:val="auto"/>
              </w:rPr>
              <w:t>Junior subordinated debt owed to unconsolidated trusts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77,117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74,815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2,302</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222"/>
        </w:trPr>
        <w:tc>
          <w:tcPr>
            <w:tcW w:w="548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liabilities</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17,284,646</w:t>
            </w: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10,663,453</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6,621,193</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62.1 %</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2,179,606</w:t>
            </w: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1,383,269</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796,337</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57.6 %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78" w:name="page79"/>
    <w:bookmarkEnd w:id="78"/>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Portfolio Loans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Busey believes that making sound and profitable loans is a necessary and desirable means of employing funds available for investment. Busey maintains lending policies and procedures designed to focus lending efforts on the types, locations, and duration of loans most appropriate for its business model and markets. CrossFirst Bank’s policies are similar in nature to Busey Bank’s policies, and Busey is in the process of migrating the CrossFirst Bank portfolio to Busey Bank’s policies. While not specifically limited, Busey attempts to focus its lending on short to intermediate-term loans (0-10 years) in geographic areas within 125 miles of its lending offices. Loans originated outside of these areas are generally to existing customers of Busey Bank. Busey attempts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Management reviews and approves Busey Bank’s lending policies and procedures on a regular basis. Management routinely—at least quarterly—reviews the ACL in conjunction with reports related to loan production, loan quality, concentrations of credit, loan delinquencies, non-performing loans, and potential problem loans. Busey’s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no time is a borrower’s total borrowing relationship permitted to exceed Busey Bank’s regulatory lending limit. Busey generally limits such relationships to amounts substantially less than the regulatory limit. Loans to related parties, including executive officers and directors of First Busey Corporation and its subsidiaries, are reviewed for compliance with regulatory guidelines.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 maintains an independent loan review department that reviews loans for compliance with Busey’s loan policy on a periodic basis. In addition, the loan review department reviews risk assessments made by Busey’s credit department, lenders, and loan committees. Results of these reviews are presented to management and the audit committee at least quarterly.</w:t>
      </w:r>
    </w:p>
    <w:p>
      <w:pPr>
        <w:spacing w:after="0" w:line="102" w:lineRule="exact"/>
        <w:rPr>
          <w:sz w:val="20"/>
          <w:szCs w:val="20"/>
          <w:color w:val="auto"/>
        </w:rPr>
      </w:pPr>
    </w:p>
    <w:p>
      <w:pPr>
        <w:jc w:val="both"/>
        <w:spacing w:after="0" w:line="265" w:lineRule="auto"/>
        <w:rPr>
          <w:rFonts w:ascii="Arial" w:cs="Arial" w:eastAsia="Arial" w:hAnsi="Arial"/>
          <w:sz w:val="14"/>
          <w:szCs w:val="14"/>
          <w:color w:val="0000FF"/>
        </w:rPr>
      </w:pPr>
      <w:r>
        <w:rPr>
          <w:rFonts w:ascii="Arial" w:cs="Arial" w:eastAsia="Arial" w:hAnsi="Arial"/>
          <w:sz w:val="14"/>
          <w:szCs w:val="14"/>
          <w:color w:val="auto"/>
        </w:rPr>
        <w:t xml:space="preserve">Busey Bank’s lending can be summarized into five primary lending activities, which can be further categorized as either commercial or retail lending. Commercial lending activities consist of C&amp;I and other commercial loans, CRE loans, and real estate construction loans while retail lending activities consist of retail real estate loans and retail other loans. A description of each of the five primary areas can be found in </w:t>
      </w:r>
      <w:r>
        <w:rPr>
          <w:rFonts w:ascii="Arial" w:cs="Arial" w:eastAsia="Arial" w:hAnsi="Arial"/>
          <w:sz w:val="14"/>
          <w:szCs w:val="14"/>
          <w:i w:val="1"/>
          <w:iCs w:val="1"/>
          <w:color w:val="auto"/>
        </w:rPr>
        <w:t>“</w:t>
      </w:r>
      <w:hyperlink r:id="rId126">
        <w:r>
          <w:rPr>
            <w:rFonts w:ascii="Arial" w:cs="Arial" w:eastAsia="Arial" w:hAnsi="Arial"/>
            <w:sz w:val="14"/>
            <w:szCs w:val="14"/>
            <w:i w:val="1"/>
            <w:iCs w:val="1"/>
            <w:u w:val="single" w:color="auto"/>
            <w:color w:val="0000FF"/>
          </w:rPr>
          <w:t>Item 7. Management's Discussion and Analysis of Financial Condition and Results of Operations—Portfolio Loans</w:t>
        </w:r>
      </w:hyperlink>
      <w:r>
        <w:rPr>
          <w:rFonts w:ascii="Arial" w:cs="Arial" w:eastAsia="Arial" w:hAnsi="Arial"/>
          <w:sz w:val="14"/>
          <w:szCs w:val="14"/>
          <w:i w:val="1"/>
          <w:iCs w:val="1"/>
          <w:color w:val="auto"/>
        </w:rPr>
        <w:t>”</w:t>
      </w:r>
      <w:r>
        <w:rPr>
          <w:rFonts w:ascii="Arial" w:cs="Arial" w:eastAsia="Arial" w:hAnsi="Arial"/>
          <w:sz w:val="14"/>
          <w:szCs w:val="14"/>
          <w:color w:val="auto"/>
        </w:rPr>
        <w:t xml:space="preserve"> of </w:t>
      </w:r>
      <w:hyperlink r:id="rId90">
        <w:r>
          <w:rPr>
            <w:rFonts w:ascii="Arial" w:cs="Arial" w:eastAsia="Arial" w:hAnsi="Arial"/>
            <w:sz w:val="14"/>
            <w:szCs w:val="14"/>
            <w:u w:val="single" w:color="auto"/>
            <w:color w:val="0000FF"/>
          </w:rPr>
          <w:t>Busey’s 2024 Annual Report</w:t>
        </w:r>
      </w:hyperlink>
      <w:r>
        <w:rPr>
          <w:rFonts w:ascii="Arial" w:cs="Arial" w:eastAsia="Arial" w:hAnsi="Arial"/>
          <w:sz w:val="14"/>
          <w:szCs w:val="14"/>
          <w:color w:val="000000"/>
        </w:rPr>
        <w:t>.</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2" w:right="319" w:bottom="1440" w:gutter="0" w:footer="0" w:header="0"/>
        </w:sectPr>
      </w:pPr>
    </w:p>
    <w:bookmarkStart w:id="79" w:name="page80"/>
    <w:bookmarkEnd w:id="79"/>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Portfolio Composition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composition of Busey’s loan portfolio as of the dates indicated, as well as changes in portfolio loan balances,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4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18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240" w:type="dxa"/>
            <w:vAlign w:val="bottom"/>
            <w:gridSpan w:val="2"/>
          </w:tcPr>
          <w:p>
            <w:pPr>
              <w:ind w:left="120"/>
              <w:spacing w:after="0" w:line="107" w:lineRule="exact"/>
              <w:rPr>
                <w:sz w:val="20"/>
                <w:szCs w:val="20"/>
                <w:color w:val="auto"/>
              </w:rPr>
            </w:pPr>
            <w:r>
              <w:rPr>
                <w:rFonts w:ascii="Arial" w:cs="Arial" w:eastAsia="Arial" w:hAnsi="Arial"/>
                <w:sz w:val="11"/>
                <w:szCs w:val="11"/>
                <w:b w:val="1"/>
                <w:bCs w:val="1"/>
                <w:color w:val="auto"/>
              </w:rPr>
              <w:t>December 31,</w:t>
            </w:r>
          </w:p>
        </w:tc>
        <w:tc>
          <w:tcPr>
            <w:tcW w:w="280" w:type="dxa"/>
            <w:vAlign w:val="bottom"/>
          </w:tcPr>
          <w:p>
            <w:pPr>
              <w:spacing w:after="0"/>
              <w:rPr>
                <w:sz w:val="9"/>
                <w:szCs w:val="9"/>
                <w:color w:val="auto"/>
              </w:rPr>
            </w:pPr>
          </w:p>
        </w:tc>
        <w:tc>
          <w:tcPr>
            <w:tcW w:w="1080" w:type="dxa"/>
            <w:vAlign w:val="bottom"/>
            <w:vMerge w:val="restart"/>
          </w:tcPr>
          <w:p>
            <w:pPr>
              <w:jc w:val="right"/>
              <w:ind w:right="391"/>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9"/>
                <w:szCs w:val="9"/>
                <w:color w:val="auto"/>
              </w:rPr>
            </w:pPr>
          </w:p>
        </w:tc>
        <w:tc>
          <w:tcPr>
            <w:tcW w:w="1480" w:type="dxa"/>
            <w:vAlign w:val="bottom"/>
            <w:vMerge w:val="restart"/>
          </w:tcPr>
          <w:p>
            <w:pPr>
              <w:jc w:val="right"/>
              <w:ind w:right="403"/>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38"/>
        </w:trPr>
        <w:tc>
          <w:tcPr>
            <w:tcW w:w="548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4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Commercial loans</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8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4,513,543</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1,904,515</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2,609,028</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137.0 %</w:t>
            </w:r>
          </w:p>
        </w:tc>
        <w:tc>
          <w:tcPr>
            <w:tcW w:w="0" w:type="dxa"/>
            <w:vAlign w:val="bottom"/>
          </w:tcPr>
          <w:p>
            <w:pPr>
              <w:spacing w:after="0"/>
              <w:rPr>
                <w:sz w:val="1"/>
                <w:szCs w:val="1"/>
                <w:color w:val="auto"/>
              </w:rPr>
            </w:pPr>
          </w:p>
        </w:tc>
      </w:tr>
      <w:tr>
        <w:trPr>
          <w:trHeight w:val="222"/>
        </w:trPr>
        <w:tc>
          <w:tcPr>
            <w:tcW w:w="54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5,573,766</w:t>
            </w: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3,269,564</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2,304,202</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70.5 %</w:t>
            </w:r>
          </w:p>
        </w:tc>
        <w:tc>
          <w:tcPr>
            <w:tcW w:w="0" w:type="dxa"/>
            <w:vAlign w:val="bottom"/>
          </w:tcPr>
          <w:p>
            <w:pPr>
              <w:spacing w:after="0"/>
              <w:rPr>
                <w:sz w:val="1"/>
                <w:szCs w:val="1"/>
                <w:color w:val="auto"/>
              </w:rPr>
            </w:pPr>
          </w:p>
        </w:tc>
      </w:tr>
      <w:tr>
        <w:trPr>
          <w:trHeight w:val="203"/>
        </w:trPr>
        <w:tc>
          <w:tcPr>
            <w:tcW w:w="548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Real estate construction</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1,051,179</w:t>
            </w:r>
          </w:p>
        </w:tc>
        <w:tc>
          <w:tcPr>
            <w:tcW w:w="8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378,209</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672,970</w:t>
            </w:r>
          </w:p>
        </w:tc>
        <w:tc>
          <w:tcPr>
            <w:tcW w:w="156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177.9 %</w:t>
            </w:r>
          </w:p>
        </w:tc>
        <w:tc>
          <w:tcPr>
            <w:tcW w:w="0" w:type="dxa"/>
            <w:vAlign w:val="bottom"/>
          </w:tcPr>
          <w:p>
            <w:pPr>
              <w:spacing w:after="0"/>
              <w:rPr>
                <w:sz w:val="1"/>
                <w:szCs w:val="1"/>
                <w:color w:val="auto"/>
              </w:rPr>
            </w:pPr>
          </w:p>
        </w:tc>
      </w:tr>
      <w:tr>
        <w:trPr>
          <w:trHeight w:val="212"/>
        </w:trPr>
        <w:tc>
          <w:tcPr>
            <w:tcW w:w="548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commercial loans</w:t>
            </w: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11,138,488</w:t>
            </w:r>
          </w:p>
        </w:tc>
        <w:tc>
          <w:tcPr>
            <w:tcW w:w="8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5,552,288</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5,586,200</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100.6 %</w:t>
            </w: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Retail loans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Retail real estate</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2,245,705</w:t>
            </w: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1,696,457</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549,248</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32.4 %</w:t>
            </w:r>
          </w:p>
        </w:tc>
        <w:tc>
          <w:tcPr>
            <w:tcW w:w="0" w:type="dxa"/>
            <w:vAlign w:val="bottom"/>
          </w:tcPr>
          <w:p>
            <w:pPr>
              <w:spacing w:after="0"/>
              <w:rPr>
                <w:sz w:val="1"/>
                <w:szCs w:val="1"/>
                <w:color w:val="auto"/>
              </w:rPr>
            </w:pPr>
          </w:p>
        </w:tc>
      </w:tr>
      <w:tr>
        <w:trPr>
          <w:trHeight w:val="203"/>
        </w:trPr>
        <w:tc>
          <w:tcPr>
            <w:tcW w:w="548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Retail other</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484,164</w:t>
            </w:r>
          </w:p>
        </w:tc>
        <w:tc>
          <w:tcPr>
            <w:tcW w:w="8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448,342</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35,822</w:t>
            </w:r>
          </w:p>
        </w:tc>
        <w:tc>
          <w:tcPr>
            <w:tcW w:w="156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212"/>
        </w:trPr>
        <w:tc>
          <w:tcPr>
            <w:tcW w:w="548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retail loans</w:t>
            </w: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2,729,869</w:t>
            </w:r>
          </w:p>
        </w:tc>
        <w:tc>
          <w:tcPr>
            <w:tcW w:w="8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2,144,799</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585,070</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27.3 %</w:t>
            </w:r>
          </w:p>
        </w:tc>
        <w:tc>
          <w:tcPr>
            <w:tcW w:w="0" w:type="dxa"/>
            <w:vAlign w:val="bottom"/>
          </w:tcPr>
          <w:p>
            <w:pPr>
              <w:spacing w:after="0"/>
              <w:rPr>
                <w:sz w:val="1"/>
                <w:szCs w:val="1"/>
                <w:color w:val="auto"/>
              </w:rPr>
            </w:pPr>
          </w:p>
        </w:tc>
      </w:tr>
      <w:tr>
        <w:trPr>
          <w:trHeight w:val="193"/>
        </w:trPr>
        <w:tc>
          <w:tcPr>
            <w:tcW w:w="5480" w:type="dxa"/>
            <w:vAlign w:val="bottom"/>
          </w:tcPr>
          <w:p>
            <w:pPr>
              <w:ind w:left="20"/>
              <w:spacing w:after="0"/>
              <w:rPr>
                <w:sz w:val="20"/>
                <w:szCs w:val="20"/>
                <w:color w:val="auto"/>
              </w:rPr>
            </w:pPr>
            <w:r>
              <w:rPr>
                <w:rFonts w:ascii="Arial" w:cs="Arial" w:eastAsia="Arial" w:hAnsi="Arial"/>
                <w:sz w:val="14"/>
                <w:szCs w:val="14"/>
                <w:color w:val="auto"/>
              </w:rPr>
              <w:t>Total portfolio loans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13,868,357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7,697,087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6,171,270</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80.2 %</w:t>
            </w:r>
          </w:p>
        </w:tc>
        <w:tc>
          <w:tcPr>
            <w:tcW w:w="0" w:type="dxa"/>
            <w:vAlign w:val="bottom"/>
          </w:tcPr>
          <w:p>
            <w:pPr>
              <w:spacing w:after="0"/>
              <w:rPr>
                <w:sz w:val="1"/>
                <w:szCs w:val="1"/>
                <w:color w:val="auto"/>
              </w:rPr>
            </w:pPr>
          </w:p>
        </w:tc>
      </w:tr>
      <w:tr>
        <w:trPr>
          <w:trHeight w:val="213"/>
        </w:trPr>
        <w:tc>
          <w:tcPr>
            <w:tcW w:w="5480" w:type="dxa"/>
            <w:vAlign w:val="bottom"/>
            <w:shd w:val="clear" w:color="auto" w:fill="E0E7ED"/>
          </w:tcPr>
          <w:p>
            <w:pPr>
              <w:ind w:left="20"/>
              <w:spacing w:after="0"/>
              <w:rPr>
                <w:sz w:val="20"/>
                <w:szCs w:val="20"/>
                <w:color w:val="auto"/>
              </w:rPr>
            </w:pPr>
            <w:r>
              <w:rPr>
                <w:rFonts w:ascii="Arial" w:cs="Arial" w:eastAsia="Arial" w:hAnsi="Arial"/>
                <w:sz w:val="14"/>
                <w:szCs w:val="14"/>
                <w:color w:val="auto"/>
              </w:rPr>
              <w:t>ACL</w:t>
            </w: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(195,210)</w:t>
            </w:r>
          </w:p>
        </w:tc>
        <w:tc>
          <w:tcPr>
            <w:tcW w:w="8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(83,404)</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(111,806)</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134.1 %</w:t>
            </w: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rPr>
                <w:sz w:val="20"/>
                <w:szCs w:val="20"/>
                <w:color w:val="auto"/>
              </w:rPr>
            </w:pPr>
            <w:r>
              <w:rPr>
                <w:rFonts w:ascii="Arial" w:cs="Arial" w:eastAsia="Arial" w:hAnsi="Arial"/>
                <w:sz w:val="14"/>
                <w:szCs w:val="14"/>
                <w:color w:val="auto"/>
              </w:rPr>
              <w:t>Portfolio loans, net of ACL</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13,673,147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7,613,683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6,059,464</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79.6 %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Total portfolio loans totaled $13.87 billion at March 31, 2025, compared to $7.70 billion at December 31, 2024. Busey Bank’s portfolio loans grew by $133.6 million during the first quarter of 2025, with growth centered in the commercial category. In addition, as of March 31, 2025, CrossFirst Bank added $6.04 billion in loans to Busey’s loan portfolio. As has been Busey’s practice, the Company remains steadfast in its conservative approach to underwriting and disciplined approach to pricing, particularly given Busey’s outlook for the economy in the coming quarters.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Concentration of Credit Risk</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a matter of policy and practice, Busey limits the level of concentration exposure in any particular loan segment with the goal of maintaining a well-diversified loan portfolio. The following table presents the percentage of total portfolio loans for each lending activity.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240" w:type="dxa"/>
            <w:vAlign w:val="bottom"/>
          </w:tcPr>
          <w:p>
            <w:pPr>
              <w:spacing w:after="0"/>
              <w:rPr>
                <w:sz w:val="12"/>
                <w:szCs w:val="12"/>
                <w:color w:val="auto"/>
              </w:rPr>
            </w:pPr>
          </w:p>
        </w:tc>
        <w:tc>
          <w:tcPr>
            <w:tcW w:w="1800" w:type="dxa"/>
            <w:vAlign w:val="bottom"/>
            <w:tcBorders>
              <w:bottom w:val="single" w:sz="8" w:color="auto"/>
            </w:tcBorders>
            <w:gridSpan w:val="3"/>
          </w:tcPr>
          <w:p>
            <w:pPr>
              <w:ind w:left="1380"/>
              <w:spacing w:after="0"/>
              <w:rPr>
                <w:sz w:val="20"/>
                <w:szCs w:val="20"/>
                <w:color w:val="auto"/>
              </w:rPr>
            </w:pPr>
            <w:r>
              <w:rPr>
                <w:rFonts w:ascii="Arial" w:cs="Arial" w:eastAsia="Arial" w:hAnsi="Arial"/>
                <w:sz w:val="11"/>
                <w:szCs w:val="11"/>
                <w:b w:val="1"/>
                <w:bCs w:val="1"/>
                <w:color w:val="auto"/>
              </w:rPr>
              <w:t>As of</w:t>
            </w:r>
          </w:p>
        </w:tc>
        <w:tc>
          <w:tcPr>
            <w:tcW w:w="1240" w:type="dxa"/>
            <w:vAlign w:val="bottom"/>
            <w:tcBorders>
              <w:bottom w:val="single" w:sz="8" w:color="auto"/>
            </w:tcBorders>
          </w:tcPr>
          <w:p>
            <w:pPr>
              <w:spacing w:after="0"/>
              <w:rPr>
                <w:sz w:val="12"/>
                <w:szCs w:val="12"/>
                <w:color w:val="auto"/>
              </w:rPr>
            </w:pPr>
          </w:p>
        </w:tc>
      </w:tr>
      <w:tr>
        <w:trPr>
          <w:trHeight w:val="107"/>
        </w:trPr>
        <w:tc>
          <w:tcPr>
            <w:tcW w:w="8240" w:type="dxa"/>
            <w:vAlign w:val="bottom"/>
          </w:tcPr>
          <w:p>
            <w:pPr>
              <w:spacing w:after="0"/>
              <w:rPr>
                <w:sz w:val="9"/>
                <w:szCs w:val="9"/>
                <w:color w:val="auto"/>
              </w:rPr>
            </w:pPr>
          </w:p>
        </w:tc>
        <w:tc>
          <w:tcPr>
            <w:tcW w:w="1800" w:type="dxa"/>
            <w:vAlign w:val="bottom"/>
            <w:gridSpan w:val="3"/>
          </w:tcPr>
          <w:p>
            <w:pPr>
              <w:ind w:left="480"/>
              <w:spacing w:after="0" w:line="107" w:lineRule="exact"/>
              <w:rPr>
                <w:sz w:val="20"/>
                <w:szCs w:val="20"/>
                <w:color w:val="auto"/>
              </w:rPr>
            </w:pPr>
            <w:r>
              <w:rPr>
                <w:rFonts w:ascii="Arial" w:cs="Arial" w:eastAsia="Arial" w:hAnsi="Arial"/>
                <w:sz w:val="11"/>
                <w:szCs w:val="11"/>
                <w:b w:val="1"/>
                <w:bCs w:val="1"/>
                <w:color w:val="auto"/>
              </w:rPr>
              <w:t>March 31,</w:t>
            </w:r>
          </w:p>
        </w:tc>
        <w:tc>
          <w:tcPr>
            <w:tcW w:w="1240" w:type="dxa"/>
            <w:vAlign w:val="bottom"/>
          </w:tcPr>
          <w:p>
            <w:pPr>
              <w:jc w:val="right"/>
              <w:ind w:right="312"/>
              <w:spacing w:after="0" w:line="107" w:lineRule="exact"/>
              <w:rPr>
                <w:sz w:val="20"/>
                <w:szCs w:val="20"/>
                <w:color w:val="auto"/>
              </w:rPr>
            </w:pPr>
            <w:r>
              <w:rPr>
                <w:rFonts w:ascii="Arial" w:cs="Arial" w:eastAsia="Arial" w:hAnsi="Arial"/>
                <w:sz w:val="11"/>
                <w:szCs w:val="11"/>
                <w:b w:val="1"/>
                <w:bCs w:val="1"/>
                <w:color w:val="auto"/>
              </w:rPr>
              <w:t>December 31,</w:t>
            </w:r>
          </w:p>
        </w:tc>
      </w:tr>
      <w:tr>
        <w:trPr>
          <w:trHeight w:val="138"/>
        </w:trPr>
        <w:tc>
          <w:tcPr>
            <w:tcW w:w="8240" w:type="dxa"/>
            <w:vAlign w:val="bottom"/>
            <w:tcBorders>
              <w:bottom w:val="single" w:sz="8" w:color="E0E7ED"/>
            </w:tcBorders>
          </w:tcPr>
          <w:p>
            <w:pPr>
              <w:spacing w:after="0"/>
              <w:rPr>
                <w:sz w:val="11"/>
                <w:szCs w:val="11"/>
                <w:color w:val="auto"/>
              </w:rPr>
            </w:pPr>
          </w:p>
        </w:tc>
        <w:tc>
          <w:tcPr>
            <w:tcW w:w="148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2024</w:t>
            </w:r>
          </w:p>
        </w:tc>
      </w:tr>
      <w:tr>
        <w:trPr>
          <w:trHeight w:val="192"/>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Commercial loans</w:t>
            </w:r>
          </w:p>
        </w:tc>
        <w:tc>
          <w:tcPr>
            <w:tcW w:w="14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r>
      <w:tr>
        <w:trPr>
          <w:trHeight w:val="202"/>
        </w:trPr>
        <w:tc>
          <w:tcPr>
            <w:tcW w:w="824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1480" w:type="dxa"/>
            <w:vAlign w:val="bottom"/>
          </w:tcPr>
          <w:p>
            <w:pPr>
              <w:jc w:val="right"/>
              <w:spacing w:after="0"/>
              <w:rPr>
                <w:sz w:val="20"/>
                <w:szCs w:val="20"/>
                <w:color w:val="auto"/>
              </w:rPr>
            </w:pPr>
            <w:r>
              <w:rPr>
                <w:rFonts w:ascii="Arial" w:cs="Arial" w:eastAsia="Arial" w:hAnsi="Arial"/>
                <w:sz w:val="14"/>
                <w:szCs w:val="14"/>
                <w:color w:val="auto"/>
              </w:rPr>
              <w:t>32.5 %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24.8 %</w:t>
            </w:r>
          </w:p>
        </w:tc>
      </w:tr>
      <w:tr>
        <w:trPr>
          <w:trHeight w:val="222"/>
        </w:trPr>
        <w:tc>
          <w:tcPr>
            <w:tcW w:w="82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14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40.2 %</w:t>
            </w: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42.5 %</w:t>
            </w:r>
          </w:p>
        </w:tc>
      </w:tr>
      <w:tr>
        <w:trPr>
          <w:trHeight w:val="203"/>
        </w:trPr>
        <w:tc>
          <w:tcPr>
            <w:tcW w:w="824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Real estate construction</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7.6 %</w:t>
            </w: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4.9 %</w:t>
            </w:r>
          </w:p>
        </w:tc>
      </w:tr>
      <w:tr>
        <w:trPr>
          <w:trHeight w:val="212"/>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commercial loans</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80.3 %</w:t>
            </w:r>
          </w:p>
        </w:tc>
        <w:tc>
          <w:tcPr>
            <w:tcW w:w="8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72.2 %</w:t>
            </w: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Retail loans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8"/>
        </w:trPr>
        <w:tc>
          <w:tcPr>
            <w:tcW w:w="82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Retail real estate</w:t>
            </w:r>
          </w:p>
        </w:tc>
        <w:tc>
          <w:tcPr>
            <w:tcW w:w="14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16.2 %</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22.0 %</w:t>
            </w:r>
          </w:p>
        </w:tc>
      </w:tr>
      <w:tr>
        <w:trPr>
          <w:trHeight w:val="203"/>
        </w:trPr>
        <w:tc>
          <w:tcPr>
            <w:tcW w:w="824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Retail other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r>
      <w:tr>
        <w:trPr>
          <w:trHeight w:val="212"/>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retail loans</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19.7 %</w:t>
            </w:r>
          </w:p>
        </w:tc>
        <w:tc>
          <w:tcPr>
            <w:tcW w:w="8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27.8 %</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color w:val="auto"/>
              </w:rPr>
              <w:t>Total portfolio loans</w:t>
            </w:r>
          </w:p>
        </w:tc>
        <w:tc>
          <w:tcPr>
            <w:tcW w:w="1480" w:type="dxa"/>
            <w:vAlign w:val="bottom"/>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100.0 %</w:t>
            </w:r>
          </w:p>
        </w:tc>
      </w:tr>
    </w:tbl>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80" w:name="page81"/>
    <w:bookmarkEnd w:id="80"/>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Busey Bank’s loan origination occurs in the Illinois and Missouri markets, with the remainder in the Florida and Indiana markets. CrossFirst Bank’s loan origination occurs across seven states and includes several verticals. The geographic distribution of Busey Bank loans originated in each of these markets is presented in the tables below, along with CrossFirst totals in each category: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6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5"/>
          </w:tcPr>
          <w:p>
            <w:pPr>
              <w:ind w:left="560"/>
              <w:spacing w:after="0"/>
              <w:rPr>
                <w:sz w:val="20"/>
                <w:szCs w:val="20"/>
                <w:color w:val="auto"/>
              </w:rPr>
            </w:pPr>
            <w:r>
              <w:rPr>
                <w:rFonts w:ascii="Arial" w:cs="Arial" w:eastAsia="Arial" w:hAnsi="Arial"/>
                <w:sz w:val="11"/>
                <w:szCs w:val="11"/>
                <w:b w:val="1"/>
                <w:bCs w:val="1"/>
                <w:color w:val="auto"/>
              </w:rPr>
              <w:t>As of March 31, 2025</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50"/>
        </w:trPr>
        <w:tc>
          <w:tcPr>
            <w:tcW w:w="268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00" w:type="dxa"/>
            <w:vAlign w:val="bottom"/>
          </w:tcPr>
          <w:p>
            <w:pPr>
              <w:spacing w:after="0"/>
              <w:rPr>
                <w:sz w:val="13"/>
                <w:szCs w:val="13"/>
                <w:color w:val="auto"/>
              </w:rPr>
            </w:pPr>
          </w:p>
        </w:tc>
        <w:tc>
          <w:tcPr>
            <w:tcW w:w="1160" w:type="dxa"/>
            <w:vAlign w:val="bottom"/>
            <w:gridSpan w:val="2"/>
          </w:tcPr>
          <w:p>
            <w:pPr>
              <w:ind w:left="200"/>
              <w:spacing w:after="0"/>
              <w:rPr>
                <w:sz w:val="20"/>
                <w:szCs w:val="20"/>
                <w:color w:val="auto"/>
              </w:rPr>
            </w:pPr>
            <w:r>
              <w:rPr>
                <w:rFonts w:ascii="Arial" w:cs="Arial" w:eastAsia="Arial" w:hAnsi="Arial"/>
                <w:sz w:val="11"/>
                <w:szCs w:val="11"/>
                <w:b w:val="1"/>
                <w:bCs w:val="1"/>
                <w:color w:val="auto"/>
              </w:rPr>
              <w:t>Illinois</w:t>
            </w:r>
          </w:p>
        </w:tc>
        <w:tc>
          <w:tcPr>
            <w:tcW w:w="260" w:type="dxa"/>
            <w:vAlign w:val="bottom"/>
          </w:tcPr>
          <w:p>
            <w:pPr>
              <w:spacing w:after="0"/>
              <w:rPr>
                <w:sz w:val="13"/>
                <w:szCs w:val="13"/>
                <w:color w:val="auto"/>
              </w:rPr>
            </w:pPr>
          </w:p>
        </w:tc>
        <w:tc>
          <w:tcPr>
            <w:tcW w:w="1180" w:type="dxa"/>
            <w:vAlign w:val="bottom"/>
            <w:gridSpan w:val="2"/>
          </w:tcPr>
          <w:p>
            <w:pPr>
              <w:ind w:left="180"/>
              <w:spacing w:after="0"/>
              <w:rPr>
                <w:sz w:val="20"/>
                <w:szCs w:val="20"/>
                <w:color w:val="auto"/>
              </w:rPr>
            </w:pPr>
            <w:r>
              <w:rPr>
                <w:rFonts w:ascii="Arial" w:cs="Arial" w:eastAsia="Arial" w:hAnsi="Arial"/>
                <w:sz w:val="11"/>
                <w:szCs w:val="11"/>
                <w:b w:val="1"/>
                <w:bCs w:val="1"/>
                <w:color w:val="auto"/>
              </w:rPr>
              <w:t>Missouri</w:t>
            </w:r>
          </w:p>
        </w:tc>
        <w:tc>
          <w:tcPr>
            <w:tcW w:w="280" w:type="dxa"/>
            <w:vAlign w:val="bottom"/>
          </w:tcPr>
          <w:p>
            <w:pPr>
              <w:spacing w:after="0"/>
              <w:rPr>
                <w:sz w:val="13"/>
                <w:szCs w:val="13"/>
                <w:color w:val="auto"/>
              </w:rPr>
            </w:pPr>
          </w:p>
        </w:tc>
        <w:tc>
          <w:tcPr>
            <w:tcW w:w="1160" w:type="dxa"/>
            <w:vAlign w:val="bottom"/>
            <w:gridSpan w:val="2"/>
          </w:tcPr>
          <w:p>
            <w:pPr>
              <w:ind w:left="200"/>
              <w:spacing w:after="0"/>
              <w:rPr>
                <w:sz w:val="20"/>
                <w:szCs w:val="20"/>
                <w:color w:val="auto"/>
              </w:rPr>
            </w:pPr>
            <w:r>
              <w:rPr>
                <w:rFonts w:ascii="Arial" w:cs="Arial" w:eastAsia="Arial" w:hAnsi="Arial"/>
                <w:sz w:val="11"/>
                <w:szCs w:val="11"/>
                <w:b w:val="1"/>
                <w:bCs w:val="1"/>
                <w:color w:val="auto"/>
              </w:rPr>
              <w:t>Florida</w:t>
            </w:r>
          </w:p>
        </w:tc>
        <w:tc>
          <w:tcPr>
            <w:tcW w:w="280" w:type="dxa"/>
            <w:vAlign w:val="bottom"/>
          </w:tcPr>
          <w:p>
            <w:pPr>
              <w:spacing w:after="0"/>
              <w:rPr>
                <w:sz w:val="13"/>
                <w:szCs w:val="13"/>
                <w:color w:val="auto"/>
              </w:rPr>
            </w:pPr>
          </w:p>
        </w:tc>
        <w:tc>
          <w:tcPr>
            <w:tcW w:w="1160" w:type="dxa"/>
            <w:vAlign w:val="bottom"/>
            <w:gridSpan w:val="2"/>
          </w:tcPr>
          <w:p>
            <w:pPr>
              <w:ind w:left="200"/>
              <w:spacing w:after="0"/>
              <w:rPr>
                <w:sz w:val="20"/>
                <w:szCs w:val="20"/>
                <w:color w:val="auto"/>
              </w:rPr>
            </w:pPr>
            <w:r>
              <w:rPr>
                <w:rFonts w:ascii="Arial" w:cs="Arial" w:eastAsia="Arial" w:hAnsi="Arial"/>
                <w:sz w:val="11"/>
                <w:szCs w:val="11"/>
                <w:b w:val="1"/>
                <w:bCs w:val="1"/>
                <w:color w:val="auto"/>
              </w:rPr>
              <w:t>Indiana</w:t>
            </w:r>
          </w:p>
        </w:tc>
        <w:tc>
          <w:tcPr>
            <w:tcW w:w="240" w:type="dxa"/>
            <w:vAlign w:val="bottom"/>
          </w:tcPr>
          <w:p>
            <w:pPr>
              <w:spacing w:after="0"/>
              <w:rPr>
                <w:sz w:val="13"/>
                <w:szCs w:val="13"/>
                <w:color w:val="auto"/>
              </w:rPr>
            </w:pPr>
          </w:p>
        </w:tc>
        <w:tc>
          <w:tcPr>
            <w:tcW w:w="1220" w:type="dxa"/>
            <w:vAlign w:val="bottom"/>
            <w:gridSpan w:val="2"/>
          </w:tcPr>
          <w:p>
            <w:pPr>
              <w:ind w:left="140"/>
              <w:spacing w:after="0" w:line="150" w:lineRule="exact"/>
              <w:rPr>
                <w:sz w:val="20"/>
                <w:szCs w:val="20"/>
                <w:color w:val="auto"/>
              </w:rPr>
            </w:pPr>
            <w:r>
              <w:rPr>
                <w:rFonts w:ascii="Arial" w:cs="Arial" w:eastAsia="Arial" w:hAnsi="Arial"/>
                <w:sz w:val="11"/>
                <w:szCs w:val="11"/>
                <w:b w:val="1"/>
                <w:bCs w:val="1"/>
                <w:color w:val="auto"/>
              </w:rPr>
              <w:t>CrossFirst</w:t>
            </w:r>
            <w:r>
              <w:rPr>
                <w:rFonts w:ascii="Arial" w:cs="Arial" w:eastAsia="Arial" w:hAnsi="Arial"/>
                <w:sz w:val="14"/>
                <w:szCs w:val="14"/>
                <w:b w:val="1"/>
                <w:bCs w:val="1"/>
                <w:color w:val="auto"/>
                <w:vertAlign w:val="superscript"/>
              </w:rPr>
              <w:t>1</w:t>
            </w:r>
          </w:p>
        </w:tc>
        <w:tc>
          <w:tcPr>
            <w:tcW w:w="320" w:type="dxa"/>
            <w:vAlign w:val="bottom"/>
          </w:tcPr>
          <w:p>
            <w:pPr>
              <w:spacing w:after="0"/>
              <w:rPr>
                <w:sz w:val="13"/>
                <w:szCs w:val="13"/>
                <w:color w:val="auto"/>
              </w:rPr>
            </w:pPr>
          </w:p>
        </w:tc>
        <w:tc>
          <w:tcPr>
            <w:tcW w:w="1040" w:type="dxa"/>
            <w:vAlign w:val="bottom"/>
          </w:tcPr>
          <w:p>
            <w:pPr>
              <w:jc w:val="right"/>
              <w:ind w:right="491"/>
              <w:spacing w:after="0"/>
              <w:rPr>
                <w:sz w:val="20"/>
                <w:szCs w:val="20"/>
                <w:color w:val="auto"/>
              </w:rPr>
            </w:pPr>
            <w:r>
              <w:rPr>
                <w:rFonts w:ascii="Arial" w:cs="Arial" w:eastAsia="Arial" w:hAnsi="Arial"/>
                <w:sz w:val="11"/>
                <w:szCs w:val="11"/>
                <w:b w:val="1"/>
                <w:bCs w:val="1"/>
                <w:color w:val="auto"/>
              </w:rPr>
              <w:t>Total</w:t>
            </w:r>
          </w:p>
        </w:tc>
      </w:tr>
      <w:tr>
        <w:trPr>
          <w:trHeight w:val="192"/>
        </w:trPr>
        <w:tc>
          <w:tcPr>
            <w:tcW w:w="26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Commercial loans</w:t>
            </w:r>
          </w:p>
        </w:tc>
        <w:tc>
          <w:tcPr>
            <w:tcW w:w="30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60" w:type="dxa"/>
            <w:vAlign w:val="bottom"/>
            <w:tcBorders>
              <w:top w:val="single" w:sz="8" w:color="auto"/>
            </w:tcBorders>
            <w:shd w:val="clear" w:color="auto" w:fill="E0E7ED"/>
          </w:tcPr>
          <w:p>
            <w:pPr>
              <w:spacing w:after="0"/>
              <w:rPr>
                <w:sz w:val="16"/>
                <w:szCs w:val="16"/>
                <w:color w:val="auto"/>
              </w:rPr>
            </w:pPr>
          </w:p>
        </w:tc>
        <w:tc>
          <w:tcPr>
            <w:tcW w:w="110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8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40" w:type="dxa"/>
            <w:vAlign w:val="bottom"/>
            <w:tcBorders>
              <w:top w:val="single" w:sz="8" w:color="auto"/>
            </w:tcBorders>
            <w:shd w:val="clear" w:color="auto" w:fill="E0E7ED"/>
          </w:tcPr>
          <w:p>
            <w:pPr>
              <w:spacing w:after="0"/>
              <w:rPr>
                <w:sz w:val="16"/>
                <w:szCs w:val="16"/>
                <w:color w:val="auto"/>
              </w:rPr>
            </w:pPr>
          </w:p>
        </w:tc>
        <w:tc>
          <w:tcPr>
            <w:tcW w:w="112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320" w:type="dxa"/>
            <w:vAlign w:val="bottom"/>
            <w:tcBorders>
              <w:top w:val="single" w:sz="8" w:color="auto"/>
            </w:tcBorders>
            <w:shd w:val="clear" w:color="auto" w:fill="E0E7ED"/>
          </w:tcPr>
          <w:p>
            <w:pPr>
              <w:spacing w:after="0"/>
              <w:rPr>
                <w:sz w:val="16"/>
                <w:szCs w:val="16"/>
                <w:color w:val="auto"/>
              </w:rPr>
            </w:pPr>
          </w:p>
        </w:tc>
        <w:tc>
          <w:tcPr>
            <w:tcW w:w="1040" w:type="dxa"/>
            <w:vAlign w:val="bottom"/>
            <w:tcBorders>
              <w:top w:val="single" w:sz="8" w:color="auto"/>
            </w:tcBorders>
            <w:shd w:val="clear" w:color="auto" w:fill="E0E7ED"/>
          </w:tcPr>
          <w:p>
            <w:pPr>
              <w:spacing w:after="0"/>
              <w:rPr>
                <w:sz w:val="16"/>
                <w:szCs w:val="16"/>
                <w:color w:val="auto"/>
              </w:rPr>
            </w:pPr>
          </w:p>
        </w:tc>
      </w:tr>
      <w:tr>
        <w:trPr>
          <w:trHeight w:val="202"/>
        </w:trPr>
        <w:tc>
          <w:tcPr>
            <w:tcW w:w="268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1,620,858</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276,593</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58,940</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98,018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2,459,134</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4,513,543</w:t>
            </w:r>
          </w:p>
        </w:tc>
      </w:tr>
      <w:tr>
        <w:trPr>
          <w:trHeight w:val="222"/>
        </w:trPr>
        <w:tc>
          <w:tcPr>
            <w:tcW w:w="26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2,236,810</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ind w:right="11"/>
              <w:spacing w:after="0"/>
              <w:rPr>
                <w:sz w:val="20"/>
                <w:szCs w:val="20"/>
                <w:color w:val="auto"/>
              </w:rPr>
            </w:pPr>
            <w:r>
              <w:rPr>
                <w:rFonts w:ascii="Arial" w:cs="Arial" w:eastAsia="Arial" w:hAnsi="Arial"/>
                <w:sz w:val="14"/>
                <w:szCs w:val="14"/>
                <w:color w:val="auto"/>
              </w:rPr>
              <w:t>544,190</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242,105</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187,593</w:t>
            </w: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2,363,068</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5,573,766</w:t>
            </w:r>
          </w:p>
        </w:tc>
      </w:tr>
      <w:tr>
        <w:trPr>
          <w:trHeight w:val="203"/>
        </w:trPr>
        <w:tc>
          <w:tcPr>
            <w:tcW w:w="268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Real estate construction</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271,390</w:t>
            </w:r>
          </w:p>
        </w:tc>
        <w:tc>
          <w:tcPr>
            <w:tcW w:w="10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44,350</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27,149</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79,032</w:t>
            </w: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629,258</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1,051,179</w:t>
            </w:r>
          </w:p>
        </w:tc>
      </w:tr>
      <w:tr>
        <w:trPr>
          <w:trHeight w:val="212"/>
        </w:trPr>
        <w:tc>
          <w:tcPr>
            <w:tcW w:w="268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commercial loans</w:t>
            </w:r>
          </w:p>
        </w:tc>
        <w:tc>
          <w:tcPr>
            <w:tcW w:w="30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4,129,058</w:t>
            </w:r>
          </w:p>
        </w:tc>
        <w:tc>
          <w:tcPr>
            <w:tcW w:w="100" w:type="dxa"/>
            <w:vAlign w:val="bottom"/>
            <w:shd w:val="clear" w:color="auto" w:fill="E0E7ED"/>
          </w:tcPr>
          <w:p>
            <w:pPr>
              <w:spacing w:after="0"/>
              <w:rPr>
                <w:sz w:val="18"/>
                <w:szCs w:val="18"/>
                <w:color w:val="auto"/>
              </w:rPr>
            </w:pP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ind w:right="11"/>
              <w:spacing w:after="0"/>
              <w:rPr>
                <w:sz w:val="20"/>
                <w:szCs w:val="20"/>
                <w:color w:val="auto"/>
              </w:rPr>
            </w:pPr>
            <w:r>
              <w:rPr>
                <w:rFonts w:ascii="Arial" w:cs="Arial" w:eastAsia="Arial" w:hAnsi="Arial"/>
                <w:sz w:val="14"/>
                <w:szCs w:val="14"/>
                <w:color w:val="auto"/>
              </w:rPr>
              <w:t>865,133</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328,194</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364,643</w:t>
            </w:r>
          </w:p>
        </w:tc>
        <w:tc>
          <w:tcPr>
            <w:tcW w:w="8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5,451,460</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11,138,488</w:t>
            </w:r>
          </w:p>
        </w:tc>
      </w:tr>
      <w:tr>
        <w:trPr>
          <w:trHeight w:val="186"/>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Retail loans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8"/>
        </w:trPr>
        <w:tc>
          <w:tcPr>
            <w:tcW w:w="26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Retail real estate</w:t>
            </w:r>
          </w:p>
        </w:tc>
        <w:tc>
          <w:tcPr>
            <w:tcW w:w="30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1,267,835</w:t>
            </w: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ind w:right="11"/>
              <w:spacing w:after="0"/>
              <w:rPr>
                <w:sz w:val="20"/>
                <w:szCs w:val="20"/>
                <w:color w:val="auto"/>
              </w:rPr>
            </w:pPr>
            <w:r>
              <w:rPr>
                <w:rFonts w:ascii="Arial" w:cs="Arial" w:eastAsia="Arial" w:hAnsi="Arial"/>
                <w:sz w:val="14"/>
                <w:szCs w:val="14"/>
                <w:color w:val="auto"/>
              </w:rPr>
              <w:t>203,722</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128,455</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81,651</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564,042</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2,245,705</w:t>
            </w:r>
          </w:p>
        </w:tc>
      </w:tr>
      <w:tr>
        <w:trPr>
          <w:trHeight w:val="203"/>
        </w:trPr>
        <w:tc>
          <w:tcPr>
            <w:tcW w:w="268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Retail other</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459,295</w:t>
            </w:r>
          </w:p>
        </w:tc>
        <w:tc>
          <w:tcPr>
            <w:tcW w:w="10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1,533</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22,161</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484,164</w:t>
            </w:r>
          </w:p>
        </w:tc>
      </w:tr>
      <w:tr>
        <w:trPr>
          <w:trHeight w:val="203"/>
        </w:trPr>
        <w:tc>
          <w:tcPr>
            <w:tcW w:w="268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retail loans</w:t>
            </w:r>
          </w:p>
        </w:tc>
        <w:tc>
          <w:tcPr>
            <w:tcW w:w="300" w:type="dxa"/>
            <w:vAlign w:val="bottom"/>
            <w:tcBorders>
              <w:bottom w:val="single" w:sz="8" w:color="auto"/>
            </w:tcBorders>
            <w:shd w:val="clear" w:color="auto" w:fill="E0E7ED"/>
          </w:tcPr>
          <w:p>
            <w:pPr>
              <w:spacing w:after="0"/>
              <w:rPr>
                <w:sz w:val="17"/>
                <w:szCs w:val="17"/>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1,727,130</w:t>
            </w:r>
          </w:p>
        </w:tc>
        <w:tc>
          <w:tcPr>
            <w:tcW w:w="100" w:type="dxa"/>
            <w:vAlign w:val="bottom"/>
            <w:shd w:val="clear" w:color="auto" w:fill="E0E7ED"/>
          </w:tcPr>
          <w:p>
            <w:pPr>
              <w:spacing w:after="0"/>
              <w:rPr>
                <w:sz w:val="17"/>
                <w:szCs w:val="17"/>
                <w:color w:val="auto"/>
              </w:rPr>
            </w:pPr>
          </w:p>
        </w:tc>
        <w:tc>
          <w:tcPr>
            <w:tcW w:w="260" w:type="dxa"/>
            <w:vAlign w:val="bottom"/>
            <w:tcBorders>
              <w:bottom w:val="single" w:sz="8" w:color="auto"/>
            </w:tcBorders>
            <w:shd w:val="clear" w:color="auto" w:fill="E0E7ED"/>
          </w:tcPr>
          <w:p>
            <w:pPr>
              <w:spacing w:after="0"/>
              <w:rPr>
                <w:sz w:val="17"/>
                <w:szCs w:val="17"/>
                <w:color w:val="auto"/>
              </w:rPr>
            </w:pPr>
          </w:p>
        </w:tc>
        <w:tc>
          <w:tcPr>
            <w:tcW w:w="1100" w:type="dxa"/>
            <w:vAlign w:val="bottom"/>
            <w:tcBorders>
              <w:bottom w:val="single" w:sz="8" w:color="auto"/>
            </w:tcBorders>
            <w:shd w:val="clear" w:color="auto" w:fill="E0E7ED"/>
          </w:tcPr>
          <w:p>
            <w:pPr>
              <w:jc w:val="right"/>
              <w:ind w:right="11"/>
              <w:spacing w:after="0"/>
              <w:rPr>
                <w:sz w:val="20"/>
                <w:szCs w:val="20"/>
                <w:color w:val="auto"/>
              </w:rPr>
            </w:pPr>
            <w:r>
              <w:rPr>
                <w:rFonts w:ascii="Arial" w:cs="Arial" w:eastAsia="Arial" w:hAnsi="Arial"/>
                <w:sz w:val="14"/>
                <w:szCs w:val="14"/>
                <w:color w:val="auto"/>
              </w:rPr>
              <w:t>205,255</w:t>
            </w:r>
          </w:p>
        </w:tc>
        <w:tc>
          <w:tcPr>
            <w:tcW w:w="80" w:type="dxa"/>
            <w:vAlign w:val="bottom"/>
            <w:shd w:val="clear" w:color="auto" w:fill="E0E7ED"/>
          </w:tcPr>
          <w:p>
            <w:pPr>
              <w:spacing w:after="0"/>
              <w:rPr>
                <w:sz w:val="17"/>
                <w:szCs w:val="17"/>
                <w:color w:val="auto"/>
              </w:rPr>
            </w:pPr>
          </w:p>
        </w:tc>
        <w:tc>
          <w:tcPr>
            <w:tcW w:w="280" w:type="dxa"/>
            <w:vAlign w:val="bottom"/>
            <w:tcBorders>
              <w:bottom w:val="single" w:sz="8" w:color="auto"/>
            </w:tcBorders>
            <w:shd w:val="clear" w:color="auto" w:fill="E0E7ED"/>
          </w:tcPr>
          <w:p>
            <w:pPr>
              <w:spacing w:after="0"/>
              <w:rPr>
                <w:sz w:val="17"/>
                <w:szCs w:val="17"/>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129,021</w:t>
            </w:r>
          </w:p>
        </w:tc>
        <w:tc>
          <w:tcPr>
            <w:tcW w:w="80" w:type="dxa"/>
            <w:vAlign w:val="bottom"/>
            <w:shd w:val="clear" w:color="auto" w:fill="E0E7ED"/>
          </w:tcPr>
          <w:p>
            <w:pPr>
              <w:spacing w:after="0"/>
              <w:rPr>
                <w:sz w:val="17"/>
                <w:szCs w:val="17"/>
                <w:color w:val="auto"/>
              </w:rPr>
            </w:pPr>
          </w:p>
        </w:tc>
        <w:tc>
          <w:tcPr>
            <w:tcW w:w="280" w:type="dxa"/>
            <w:vAlign w:val="bottom"/>
            <w:tcBorders>
              <w:bottom w:val="single" w:sz="8" w:color="auto"/>
            </w:tcBorders>
            <w:shd w:val="clear" w:color="auto" w:fill="E0E7ED"/>
          </w:tcPr>
          <w:p>
            <w:pPr>
              <w:spacing w:after="0"/>
              <w:rPr>
                <w:sz w:val="17"/>
                <w:szCs w:val="17"/>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82,260</w:t>
            </w:r>
          </w:p>
        </w:tc>
        <w:tc>
          <w:tcPr>
            <w:tcW w:w="80" w:type="dxa"/>
            <w:vAlign w:val="bottom"/>
            <w:shd w:val="clear" w:color="auto" w:fill="E0E7ED"/>
          </w:tcPr>
          <w:p>
            <w:pPr>
              <w:spacing w:after="0"/>
              <w:rPr>
                <w:sz w:val="17"/>
                <w:szCs w:val="17"/>
                <w:color w:val="auto"/>
              </w:rPr>
            </w:pPr>
          </w:p>
        </w:tc>
        <w:tc>
          <w:tcPr>
            <w:tcW w:w="240" w:type="dxa"/>
            <w:vAlign w:val="bottom"/>
            <w:tcBorders>
              <w:bottom w:val="single" w:sz="8" w:color="auto"/>
            </w:tcBorders>
            <w:shd w:val="clear" w:color="auto" w:fill="E0E7ED"/>
          </w:tcPr>
          <w:p>
            <w:pPr>
              <w:spacing w:after="0"/>
              <w:rPr>
                <w:sz w:val="17"/>
                <w:szCs w:val="17"/>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586,203</w:t>
            </w:r>
          </w:p>
        </w:tc>
        <w:tc>
          <w:tcPr>
            <w:tcW w:w="100" w:type="dxa"/>
            <w:vAlign w:val="bottom"/>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spacing w:after="0"/>
              <w:rPr>
                <w:sz w:val="17"/>
                <w:szCs w:val="17"/>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2,729,869</w:t>
            </w:r>
          </w:p>
        </w:tc>
      </w:tr>
      <w:tr>
        <w:trPr>
          <w:trHeight w:val="212"/>
        </w:trPr>
        <w:tc>
          <w:tcPr>
            <w:tcW w:w="2680" w:type="dxa"/>
            <w:vAlign w:val="bottom"/>
          </w:tcPr>
          <w:p>
            <w:pPr>
              <w:ind w:left="20"/>
              <w:spacing w:after="0"/>
              <w:rPr>
                <w:sz w:val="20"/>
                <w:szCs w:val="20"/>
                <w:color w:val="auto"/>
              </w:rPr>
            </w:pPr>
            <w:r>
              <w:rPr>
                <w:rFonts w:ascii="Arial" w:cs="Arial" w:eastAsia="Arial" w:hAnsi="Arial"/>
                <w:sz w:val="14"/>
                <w:szCs w:val="14"/>
                <w:color w:val="auto"/>
              </w:rPr>
              <w:t>Total portfolio loans</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5,856,188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1,070,388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457,215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446,903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6,037,663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13,868,357</w:t>
            </w:r>
          </w:p>
        </w:tc>
      </w:tr>
      <w:tr>
        <w:trPr>
          <w:trHeight w:val="20"/>
        </w:trPr>
        <w:tc>
          <w:tcPr>
            <w:tcW w:w="26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E0E7ED"/>
            </w:tcBorders>
          </w:tcPr>
          <w:p>
            <w:pPr>
              <w:spacing w:after="0" w:line="20" w:lineRule="exact"/>
              <w:rPr>
                <w:sz w:val="1"/>
                <w:szCs w:val="1"/>
                <w:color w:val="auto"/>
              </w:rPr>
            </w:pPr>
          </w:p>
        </w:tc>
        <w:tc>
          <w:tcPr>
            <w:tcW w:w="1040" w:type="dxa"/>
            <w:vAlign w:val="bottom"/>
            <w:tcBorders>
              <w:bottom w:val="single" w:sz="8" w:color="E0E7ED"/>
            </w:tcBorders>
          </w:tcPr>
          <w:p>
            <w:pPr>
              <w:spacing w:after="0" w:line="20" w:lineRule="exact"/>
              <w:rPr>
                <w:sz w:val="1"/>
                <w:szCs w:val="1"/>
                <w:color w:val="auto"/>
              </w:rPr>
            </w:pPr>
          </w:p>
        </w:tc>
      </w:tr>
      <w:tr>
        <w:trPr>
          <w:trHeight w:val="164"/>
        </w:trPr>
        <w:tc>
          <w:tcPr>
            <w:tcW w:w="2680" w:type="dxa"/>
            <w:vAlign w:val="bottom"/>
            <w:shd w:val="clear" w:color="auto" w:fill="E0E7ED"/>
          </w:tcPr>
          <w:p>
            <w:pPr>
              <w:ind w:left="20"/>
              <w:spacing w:after="0"/>
              <w:rPr>
                <w:sz w:val="20"/>
                <w:szCs w:val="20"/>
                <w:color w:val="auto"/>
              </w:rPr>
            </w:pPr>
            <w:r>
              <w:rPr>
                <w:rFonts w:ascii="Arial" w:cs="Arial" w:eastAsia="Arial" w:hAnsi="Arial"/>
                <w:sz w:val="14"/>
                <w:szCs w:val="14"/>
                <w:color w:val="auto"/>
              </w:rPr>
              <w:t>ACL</w:t>
            </w:r>
          </w:p>
        </w:tc>
        <w:tc>
          <w:tcPr>
            <w:tcW w:w="3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80" w:type="dxa"/>
            <w:vAlign w:val="bottom"/>
            <w:shd w:val="clear" w:color="auto" w:fill="E0E7ED"/>
          </w:tcPr>
          <w:p>
            <w:pPr>
              <w:spacing w:after="0"/>
              <w:rPr>
                <w:sz w:val="14"/>
                <w:szCs w:val="14"/>
                <w:color w:val="auto"/>
              </w:rPr>
            </w:pPr>
          </w:p>
        </w:tc>
        <w:tc>
          <w:tcPr>
            <w:tcW w:w="108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80" w:type="dxa"/>
            <w:vAlign w:val="bottom"/>
            <w:shd w:val="clear" w:color="auto" w:fill="E0E7ED"/>
          </w:tcPr>
          <w:p>
            <w:pPr>
              <w:spacing w:after="0"/>
              <w:rPr>
                <w:sz w:val="14"/>
                <w:szCs w:val="14"/>
                <w:color w:val="auto"/>
              </w:rPr>
            </w:pPr>
          </w:p>
        </w:tc>
        <w:tc>
          <w:tcPr>
            <w:tcW w:w="108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40" w:type="dxa"/>
            <w:vAlign w:val="bottom"/>
            <w:shd w:val="clear" w:color="auto" w:fill="E0E7ED"/>
          </w:tcPr>
          <w:p>
            <w:pPr>
              <w:spacing w:after="0"/>
              <w:rPr>
                <w:sz w:val="14"/>
                <w:szCs w:val="14"/>
                <w:color w:val="auto"/>
              </w:rPr>
            </w:pPr>
          </w:p>
        </w:tc>
        <w:tc>
          <w:tcPr>
            <w:tcW w:w="112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(195,210)</w:t>
            </w:r>
          </w:p>
        </w:tc>
      </w:tr>
      <w:tr>
        <w:trPr>
          <w:trHeight w:val="212"/>
        </w:trPr>
        <w:tc>
          <w:tcPr>
            <w:tcW w:w="2680" w:type="dxa"/>
            <w:vAlign w:val="bottom"/>
          </w:tcPr>
          <w:p>
            <w:pPr>
              <w:ind w:left="20"/>
              <w:spacing w:after="0"/>
              <w:rPr>
                <w:sz w:val="20"/>
                <w:szCs w:val="20"/>
                <w:color w:val="auto"/>
              </w:rPr>
            </w:pPr>
            <w:r>
              <w:rPr>
                <w:rFonts w:ascii="Arial" w:cs="Arial" w:eastAsia="Arial" w:hAnsi="Arial"/>
                <w:sz w:val="14"/>
                <w:szCs w:val="14"/>
                <w:color w:val="auto"/>
              </w:rPr>
              <w:t>Portfolio loans, net of ACL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13,673,147</w:t>
            </w:r>
          </w:p>
        </w:tc>
      </w:tr>
      <w:tr>
        <w:trPr>
          <w:trHeight w:val="20"/>
        </w:trPr>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11" w:lineRule="exact"/>
        <w:rPr>
          <w:sz w:val="20"/>
          <w:szCs w:val="20"/>
          <w:color w:val="auto"/>
        </w:rPr>
      </w:pPr>
    </w:p>
    <w:p>
      <w:pPr>
        <w:ind w:left="400" w:hanging="268"/>
        <w:spacing w:after="0"/>
        <w:tabs>
          <w:tab w:leader="none" w:pos="400" w:val="left"/>
        </w:tabs>
        <w:numPr>
          <w:ilvl w:val="0"/>
          <w:numId w:val="29"/>
        </w:numPr>
        <w:rPr>
          <w:rFonts w:ascii="Arial" w:cs="Arial" w:eastAsia="Arial" w:hAnsi="Arial"/>
          <w:sz w:val="11"/>
          <w:szCs w:val="11"/>
          <w:color w:val="auto"/>
        </w:rPr>
      </w:pPr>
      <w:r>
        <w:rPr>
          <w:rFonts w:ascii="Arial" w:cs="Arial" w:eastAsia="Arial" w:hAnsi="Arial"/>
          <w:sz w:val="11"/>
          <w:szCs w:val="11"/>
          <w:color w:val="auto"/>
        </w:rPr>
        <w:t>Due to the timing of the acquisition, CrossFirst data is shown in total. Busey will review and enhance future disclosures starting in the second quarter of 2025 after the banks have merged.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As of December 31, 2024</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39"/>
        </w:trPr>
        <w:tc>
          <w:tcPr>
            <w:tcW w:w="41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80" w:type="dxa"/>
            <w:vAlign w:val="bottom"/>
          </w:tcPr>
          <w:p>
            <w:pPr>
              <w:spacing w:after="0"/>
              <w:rPr>
                <w:sz w:val="12"/>
                <w:szCs w:val="12"/>
                <w:color w:val="auto"/>
              </w:rPr>
            </w:pPr>
          </w:p>
        </w:tc>
        <w:tc>
          <w:tcPr>
            <w:tcW w:w="1160" w:type="dxa"/>
            <w:vAlign w:val="bottom"/>
            <w:gridSpan w:val="2"/>
          </w:tcPr>
          <w:p>
            <w:pPr>
              <w:ind w:left="220"/>
              <w:spacing w:after="0"/>
              <w:rPr>
                <w:sz w:val="20"/>
                <w:szCs w:val="20"/>
                <w:color w:val="auto"/>
              </w:rPr>
            </w:pPr>
            <w:r>
              <w:rPr>
                <w:rFonts w:ascii="Arial" w:cs="Arial" w:eastAsia="Arial" w:hAnsi="Arial"/>
                <w:sz w:val="11"/>
                <w:szCs w:val="11"/>
                <w:b w:val="1"/>
                <w:bCs w:val="1"/>
                <w:color w:val="auto"/>
              </w:rPr>
              <w:t>Illinois</w:t>
            </w:r>
          </w:p>
        </w:tc>
        <w:tc>
          <w:tcPr>
            <w:tcW w:w="260" w:type="dxa"/>
            <w:vAlign w:val="bottom"/>
          </w:tcPr>
          <w:p>
            <w:pPr>
              <w:spacing w:after="0"/>
              <w:rPr>
                <w:sz w:val="12"/>
                <w:szCs w:val="12"/>
                <w:color w:val="auto"/>
              </w:rPr>
            </w:pPr>
          </w:p>
        </w:tc>
        <w:tc>
          <w:tcPr>
            <w:tcW w:w="1180" w:type="dxa"/>
            <w:vAlign w:val="bottom"/>
            <w:gridSpan w:val="2"/>
          </w:tcPr>
          <w:p>
            <w:pPr>
              <w:ind w:left="180"/>
              <w:spacing w:after="0"/>
              <w:rPr>
                <w:sz w:val="20"/>
                <w:szCs w:val="20"/>
                <w:color w:val="auto"/>
              </w:rPr>
            </w:pPr>
            <w:r>
              <w:rPr>
                <w:rFonts w:ascii="Arial" w:cs="Arial" w:eastAsia="Arial" w:hAnsi="Arial"/>
                <w:sz w:val="11"/>
                <w:szCs w:val="11"/>
                <w:b w:val="1"/>
                <w:bCs w:val="1"/>
                <w:color w:val="auto"/>
              </w:rPr>
              <w:t>Missouri</w:t>
            </w:r>
          </w:p>
        </w:tc>
        <w:tc>
          <w:tcPr>
            <w:tcW w:w="300" w:type="dxa"/>
            <w:vAlign w:val="bottom"/>
          </w:tcPr>
          <w:p>
            <w:pPr>
              <w:spacing w:after="0"/>
              <w:rPr>
                <w:sz w:val="12"/>
                <w:szCs w:val="12"/>
                <w:color w:val="auto"/>
              </w:rPr>
            </w:pPr>
          </w:p>
        </w:tc>
        <w:tc>
          <w:tcPr>
            <w:tcW w:w="1160" w:type="dxa"/>
            <w:vAlign w:val="bottom"/>
            <w:gridSpan w:val="2"/>
          </w:tcPr>
          <w:p>
            <w:pPr>
              <w:ind w:left="200"/>
              <w:spacing w:after="0"/>
              <w:rPr>
                <w:sz w:val="20"/>
                <w:szCs w:val="20"/>
                <w:color w:val="auto"/>
              </w:rPr>
            </w:pPr>
            <w:r>
              <w:rPr>
                <w:rFonts w:ascii="Arial" w:cs="Arial" w:eastAsia="Arial" w:hAnsi="Arial"/>
                <w:sz w:val="11"/>
                <w:szCs w:val="11"/>
                <w:b w:val="1"/>
                <w:bCs w:val="1"/>
                <w:color w:val="auto"/>
              </w:rPr>
              <w:t>Florida</w:t>
            </w:r>
          </w:p>
        </w:tc>
        <w:tc>
          <w:tcPr>
            <w:tcW w:w="300" w:type="dxa"/>
            <w:vAlign w:val="bottom"/>
          </w:tcPr>
          <w:p>
            <w:pPr>
              <w:spacing w:after="0"/>
              <w:rPr>
                <w:sz w:val="12"/>
                <w:szCs w:val="12"/>
                <w:color w:val="auto"/>
              </w:rPr>
            </w:pPr>
          </w:p>
        </w:tc>
        <w:tc>
          <w:tcPr>
            <w:tcW w:w="1160" w:type="dxa"/>
            <w:vAlign w:val="bottom"/>
            <w:gridSpan w:val="2"/>
          </w:tcPr>
          <w:p>
            <w:pPr>
              <w:ind w:left="180"/>
              <w:spacing w:after="0"/>
              <w:rPr>
                <w:sz w:val="20"/>
                <w:szCs w:val="20"/>
                <w:color w:val="auto"/>
              </w:rPr>
            </w:pPr>
            <w:r>
              <w:rPr>
                <w:rFonts w:ascii="Arial" w:cs="Arial" w:eastAsia="Arial" w:hAnsi="Arial"/>
                <w:sz w:val="11"/>
                <w:szCs w:val="11"/>
                <w:b w:val="1"/>
                <w:bCs w:val="1"/>
                <w:color w:val="auto"/>
              </w:rPr>
              <w:t>Indiana</w:t>
            </w:r>
          </w:p>
        </w:tc>
        <w:tc>
          <w:tcPr>
            <w:tcW w:w="320" w:type="dxa"/>
            <w:vAlign w:val="bottom"/>
          </w:tcPr>
          <w:p>
            <w:pPr>
              <w:spacing w:after="0"/>
              <w:rPr>
                <w:sz w:val="12"/>
                <w:szCs w:val="12"/>
                <w:color w:val="auto"/>
              </w:rPr>
            </w:pPr>
          </w:p>
        </w:tc>
        <w:tc>
          <w:tcPr>
            <w:tcW w:w="1040" w:type="dxa"/>
            <w:vAlign w:val="bottom"/>
          </w:tcPr>
          <w:p>
            <w:pPr>
              <w:jc w:val="right"/>
              <w:ind w:right="491"/>
              <w:spacing w:after="0"/>
              <w:rPr>
                <w:sz w:val="20"/>
                <w:szCs w:val="20"/>
                <w:color w:val="auto"/>
              </w:rPr>
            </w:pPr>
            <w:r>
              <w:rPr>
                <w:rFonts w:ascii="Arial" w:cs="Arial" w:eastAsia="Arial" w:hAnsi="Arial"/>
                <w:sz w:val="11"/>
                <w:szCs w:val="11"/>
                <w:b w:val="1"/>
                <w:bCs w:val="1"/>
                <w:color w:val="auto"/>
              </w:rPr>
              <w:t>Total</w:t>
            </w:r>
          </w:p>
        </w:tc>
      </w:tr>
      <w:tr>
        <w:trPr>
          <w:trHeight w:val="192"/>
        </w:trPr>
        <w:tc>
          <w:tcPr>
            <w:tcW w:w="41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Commercial loans</w:t>
            </w:r>
          </w:p>
        </w:tc>
        <w:tc>
          <w:tcPr>
            <w:tcW w:w="28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60" w:type="dxa"/>
            <w:vAlign w:val="bottom"/>
            <w:tcBorders>
              <w:top w:val="single" w:sz="8" w:color="auto"/>
            </w:tcBorders>
            <w:shd w:val="clear" w:color="auto" w:fill="E0E7ED"/>
          </w:tcPr>
          <w:p>
            <w:pPr>
              <w:spacing w:after="0"/>
              <w:rPr>
                <w:sz w:val="16"/>
                <w:szCs w:val="16"/>
                <w:color w:val="auto"/>
              </w:rPr>
            </w:pPr>
          </w:p>
        </w:tc>
        <w:tc>
          <w:tcPr>
            <w:tcW w:w="110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0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00" w:type="dxa"/>
            <w:vAlign w:val="bottom"/>
            <w:tcBorders>
              <w:top w:val="single" w:sz="8" w:color="auto"/>
            </w:tcBorders>
            <w:shd w:val="clear" w:color="auto" w:fill="E0E7ED"/>
          </w:tcPr>
          <w:p>
            <w:pPr>
              <w:spacing w:after="0"/>
              <w:rPr>
                <w:sz w:val="16"/>
                <w:szCs w:val="16"/>
                <w:color w:val="auto"/>
              </w:rPr>
            </w:pPr>
          </w:p>
        </w:tc>
        <w:tc>
          <w:tcPr>
            <w:tcW w:w="106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320" w:type="dxa"/>
            <w:vAlign w:val="bottom"/>
            <w:tcBorders>
              <w:top w:val="single" w:sz="8" w:color="auto"/>
            </w:tcBorders>
            <w:shd w:val="clear" w:color="auto" w:fill="E0E7ED"/>
          </w:tcPr>
          <w:p>
            <w:pPr>
              <w:spacing w:after="0"/>
              <w:rPr>
                <w:sz w:val="16"/>
                <w:szCs w:val="16"/>
                <w:color w:val="auto"/>
              </w:rPr>
            </w:pPr>
          </w:p>
        </w:tc>
        <w:tc>
          <w:tcPr>
            <w:tcW w:w="1040" w:type="dxa"/>
            <w:vAlign w:val="bottom"/>
            <w:tcBorders>
              <w:top w:val="single" w:sz="8" w:color="auto"/>
            </w:tcBorders>
            <w:shd w:val="clear" w:color="auto" w:fill="E0E7ED"/>
          </w:tcPr>
          <w:p>
            <w:pPr>
              <w:spacing w:after="0"/>
              <w:rPr>
                <w:sz w:val="16"/>
                <w:szCs w:val="16"/>
                <w:color w:val="auto"/>
              </w:rPr>
            </w:pPr>
          </w:p>
        </w:tc>
      </w:tr>
      <w:tr>
        <w:trPr>
          <w:trHeight w:val="202"/>
        </w:trPr>
        <w:tc>
          <w:tcPr>
            <w:tcW w:w="412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1,493,670</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276,140</w:t>
            </w:r>
          </w:p>
        </w:tc>
        <w:tc>
          <w:tcPr>
            <w:tcW w:w="8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58,277</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76,428</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1,904,515</w:t>
            </w:r>
          </w:p>
        </w:tc>
      </w:tr>
      <w:tr>
        <w:trPr>
          <w:trHeight w:val="222"/>
        </w:trPr>
        <w:tc>
          <w:tcPr>
            <w:tcW w:w="41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28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2,285,915</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560,337</w:t>
            </w:r>
          </w:p>
        </w:tc>
        <w:tc>
          <w:tcPr>
            <w:tcW w:w="8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245,918</w:t>
            </w:r>
          </w:p>
        </w:tc>
        <w:tc>
          <w:tcPr>
            <w:tcW w:w="8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177,394</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3,269,564</w:t>
            </w:r>
          </w:p>
        </w:tc>
      </w:tr>
      <w:tr>
        <w:trPr>
          <w:trHeight w:val="203"/>
        </w:trPr>
        <w:tc>
          <w:tcPr>
            <w:tcW w:w="412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Real estate construction</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232,898</w:t>
            </w:r>
          </w:p>
        </w:tc>
        <w:tc>
          <w:tcPr>
            <w:tcW w:w="10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40,816</w:t>
            </w: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30,826</w:t>
            </w: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73,669</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378,209</w:t>
            </w:r>
          </w:p>
        </w:tc>
      </w:tr>
      <w:tr>
        <w:trPr>
          <w:trHeight w:val="212"/>
        </w:trPr>
        <w:tc>
          <w:tcPr>
            <w:tcW w:w="412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commercial loans</w:t>
            </w:r>
          </w:p>
        </w:tc>
        <w:tc>
          <w:tcPr>
            <w:tcW w:w="28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4,012,483</w:t>
            </w:r>
          </w:p>
        </w:tc>
        <w:tc>
          <w:tcPr>
            <w:tcW w:w="100" w:type="dxa"/>
            <w:vAlign w:val="bottom"/>
            <w:shd w:val="clear" w:color="auto" w:fill="E0E7ED"/>
          </w:tcPr>
          <w:p>
            <w:pPr>
              <w:spacing w:after="0"/>
              <w:rPr>
                <w:sz w:val="18"/>
                <w:szCs w:val="18"/>
                <w:color w:val="auto"/>
              </w:rPr>
            </w:pP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877,293</w:t>
            </w: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335,021</w:t>
            </w: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327,491</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5,552,288</w:t>
            </w: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Retail loans</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8"/>
        </w:trPr>
        <w:tc>
          <w:tcPr>
            <w:tcW w:w="412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Retail real estate</w:t>
            </w: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1,275,834</w:t>
            </w: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211,878</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128,352</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80,393</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1,696,457</w:t>
            </w:r>
          </w:p>
        </w:tc>
      </w:tr>
      <w:tr>
        <w:trPr>
          <w:trHeight w:val="203"/>
        </w:trPr>
        <w:tc>
          <w:tcPr>
            <w:tcW w:w="412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Retail other</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443,164</w:t>
            </w:r>
          </w:p>
        </w:tc>
        <w:tc>
          <w:tcPr>
            <w:tcW w:w="10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3,731</w:t>
            </w: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448,342</w:t>
            </w:r>
          </w:p>
        </w:tc>
      </w:tr>
      <w:tr>
        <w:trPr>
          <w:trHeight w:val="203"/>
        </w:trPr>
        <w:tc>
          <w:tcPr>
            <w:tcW w:w="412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retail loans</w:t>
            </w:r>
          </w:p>
        </w:tc>
        <w:tc>
          <w:tcPr>
            <w:tcW w:w="280" w:type="dxa"/>
            <w:vAlign w:val="bottom"/>
            <w:tcBorders>
              <w:bottom w:val="single" w:sz="8" w:color="auto"/>
            </w:tcBorders>
            <w:shd w:val="clear" w:color="auto" w:fill="E0E7ED"/>
          </w:tcPr>
          <w:p>
            <w:pPr>
              <w:spacing w:after="0"/>
              <w:rPr>
                <w:sz w:val="17"/>
                <w:szCs w:val="17"/>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1,718,998</w:t>
            </w:r>
          </w:p>
        </w:tc>
        <w:tc>
          <w:tcPr>
            <w:tcW w:w="100" w:type="dxa"/>
            <w:vAlign w:val="bottom"/>
            <w:shd w:val="clear" w:color="auto" w:fill="E0E7ED"/>
          </w:tcPr>
          <w:p>
            <w:pPr>
              <w:spacing w:after="0"/>
              <w:rPr>
                <w:sz w:val="17"/>
                <w:szCs w:val="17"/>
                <w:color w:val="auto"/>
              </w:rPr>
            </w:pPr>
          </w:p>
        </w:tc>
        <w:tc>
          <w:tcPr>
            <w:tcW w:w="260" w:type="dxa"/>
            <w:vAlign w:val="bottom"/>
            <w:tcBorders>
              <w:bottom w:val="single" w:sz="8" w:color="auto"/>
            </w:tcBorders>
            <w:shd w:val="clear" w:color="auto" w:fill="E0E7ED"/>
          </w:tcPr>
          <w:p>
            <w:pPr>
              <w:spacing w:after="0"/>
              <w:rPr>
                <w:sz w:val="17"/>
                <w:szCs w:val="17"/>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215,609</w:t>
            </w:r>
          </w:p>
        </w:tc>
        <w:tc>
          <w:tcPr>
            <w:tcW w:w="80" w:type="dxa"/>
            <w:vAlign w:val="bottom"/>
            <w:shd w:val="clear" w:color="auto" w:fill="E0E7ED"/>
          </w:tcPr>
          <w:p>
            <w:pPr>
              <w:spacing w:after="0"/>
              <w:rPr>
                <w:sz w:val="17"/>
                <w:szCs w:val="17"/>
                <w:color w:val="auto"/>
              </w:rPr>
            </w:pPr>
          </w:p>
        </w:tc>
        <w:tc>
          <w:tcPr>
            <w:tcW w:w="300" w:type="dxa"/>
            <w:vAlign w:val="bottom"/>
            <w:tcBorders>
              <w:bottom w:val="single" w:sz="8" w:color="auto"/>
            </w:tcBorders>
            <w:shd w:val="clear" w:color="auto" w:fill="E0E7ED"/>
          </w:tcPr>
          <w:p>
            <w:pPr>
              <w:spacing w:after="0"/>
              <w:rPr>
                <w:sz w:val="17"/>
                <w:szCs w:val="17"/>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129,035</w:t>
            </w:r>
          </w:p>
        </w:tc>
        <w:tc>
          <w:tcPr>
            <w:tcW w:w="80" w:type="dxa"/>
            <w:vAlign w:val="bottom"/>
            <w:shd w:val="clear" w:color="auto" w:fill="E0E7ED"/>
          </w:tcPr>
          <w:p>
            <w:pPr>
              <w:spacing w:after="0"/>
              <w:rPr>
                <w:sz w:val="17"/>
                <w:szCs w:val="17"/>
                <w:color w:val="auto"/>
              </w:rPr>
            </w:pPr>
          </w:p>
        </w:tc>
        <w:tc>
          <w:tcPr>
            <w:tcW w:w="300" w:type="dxa"/>
            <w:vAlign w:val="bottom"/>
            <w:tcBorders>
              <w:bottom w:val="single" w:sz="8" w:color="auto"/>
            </w:tcBorders>
            <w:shd w:val="clear" w:color="auto" w:fill="E0E7ED"/>
          </w:tcPr>
          <w:p>
            <w:pPr>
              <w:spacing w:after="0"/>
              <w:rPr>
                <w:sz w:val="17"/>
                <w:szCs w:val="17"/>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81,157</w:t>
            </w:r>
          </w:p>
        </w:tc>
        <w:tc>
          <w:tcPr>
            <w:tcW w:w="100" w:type="dxa"/>
            <w:vAlign w:val="bottom"/>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spacing w:after="0"/>
              <w:rPr>
                <w:sz w:val="17"/>
                <w:szCs w:val="17"/>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2,144,799</w:t>
            </w:r>
          </w:p>
        </w:tc>
      </w:tr>
      <w:tr>
        <w:trPr>
          <w:trHeight w:val="212"/>
        </w:trPr>
        <w:tc>
          <w:tcPr>
            <w:tcW w:w="4120" w:type="dxa"/>
            <w:vAlign w:val="bottom"/>
          </w:tcPr>
          <w:p>
            <w:pPr>
              <w:ind w:left="20"/>
              <w:spacing w:after="0"/>
              <w:rPr>
                <w:sz w:val="20"/>
                <w:szCs w:val="20"/>
                <w:color w:val="auto"/>
              </w:rPr>
            </w:pPr>
            <w:r>
              <w:rPr>
                <w:rFonts w:ascii="Arial" w:cs="Arial" w:eastAsia="Arial" w:hAnsi="Arial"/>
                <w:sz w:val="14"/>
                <w:szCs w:val="14"/>
                <w:color w:val="auto"/>
              </w:rPr>
              <w:t>Total portfolio loans</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5,731,481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1,092,902</w:t>
            </w:r>
          </w:p>
        </w:tc>
        <w:tc>
          <w:tcPr>
            <w:tcW w:w="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464,056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408,648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7,697,087</w:t>
            </w:r>
          </w:p>
        </w:tc>
      </w:tr>
      <w:tr>
        <w:trPr>
          <w:trHeight w:val="20"/>
        </w:trPr>
        <w:tc>
          <w:tcPr>
            <w:tcW w:w="412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E0E7ED"/>
            </w:tcBorders>
          </w:tcPr>
          <w:p>
            <w:pPr>
              <w:spacing w:after="0" w:line="20" w:lineRule="exact"/>
              <w:rPr>
                <w:sz w:val="1"/>
                <w:szCs w:val="1"/>
                <w:color w:val="auto"/>
              </w:rPr>
            </w:pPr>
          </w:p>
        </w:tc>
        <w:tc>
          <w:tcPr>
            <w:tcW w:w="1040" w:type="dxa"/>
            <w:vAlign w:val="bottom"/>
            <w:tcBorders>
              <w:bottom w:val="single" w:sz="8" w:color="E0E7ED"/>
            </w:tcBorders>
          </w:tcPr>
          <w:p>
            <w:pPr>
              <w:spacing w:after="0" w:line="20" w:lineRule="exact"/>
              <w:rPr>
                <w:sz w:val="1"/>
                <w:szCs w:val="1"/>
                <w:color w:val="auto"/>
              </w:rPr>
            </w:pPr>
          </w:p>
        </w:tc>
      </w:tr>
      <w:tr>
        <w:trPr>
          <w:trHeight w:val="164"/>
        </w:trPr>
        <w:tc>
          <w:tcPr>
            <w:tcW w:w="4120" w:type="dxa"/>
            <w:vAlign w:val="bottom"/>
            <w:shd w:val="clear" w:color="auto" w:fill="E0E7ED"/>
          </w:tcPr>
          <w:p>
            <w:pPr>
              <w:ind w:left="20"/>
              <w:spacing w:after="0"/>
              <w:rPr>
                <w:sz w:val="20"/>
                <w:szCs w:val="20"/>
                <w:color w:val="auto"/>
              </w:rPr>
            </w:pPr>
            <w:r>
              <w:rPr>
                <w:rFonts w:ascii="Arial" w:cs="Arial" w:eastAsia="Arial" w:hAnsi="Arial"/>
                <w:sz w:val="14"/>
                <w:szCs w:val="14"/>
                <w:color w:val="auto"/>
              </w:rPr>
              <w:t>ACL</w:t>
            </w:r>
          </w:p>
        </w:tc>
        <w:tc>
          <w:tcPr>
            <w:tcW w:w="28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spacing w:after="0"/>
              <w:rPr>
                <w:sz w:val="14"/>
                <w:szCs w:val="14"/>
                <w:color w:val="auto"/>
              </w:rPr>
            </w:pPr>
          </w:p>
        </w:tc>
        <w:tc>
          <w:tcPr>
            <w:tcW w:w="108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(83,404)</w:t>
            </w:r>
          </w:p>
        </w:tc>
      </w:tr>
      <w:tr>
        <w:trPr>
          <w:trHeight w:val="212"/>
        </w:trPr>
        <w:tc>
          <w:tcPr>
            <w:tcW w:w="4120" w:type="dxa"/>
            <w:vAlign w:val="bottom"/>
          </w:tcPr>
          <w:p>
            <w:pPr>
              <w:ind w:left="20"/>
              <w:spacing w:after="0"/>
              <w:rPr>
                <w:sz w:val="20"/>
                <w:szCs w:val="20"/>
                <w:color w:val="auto"/>
              </w:rPr>
            </w:pPr>
            <w:r>
              <w:rPr>
                <w:rFonts w:ascii="Arial" w:cs="Arial" w:eastAsia="Arial" w:hAnsi="Arial"/>
                <w:sz w:val="14"/>
                <w:szCs w:val="14"/>
                <w:color w:val="auto"/>
              </w:rPr>
              <w:t>Portfolio loans, net of ACL</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7,613,683</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81" w:name="page82"/>
    <w:bookmarkEnd w:id="81"/>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CRE loans made up 40.2% of Busey’s total loan portfolio as of March 31, 2025, and were 21.8% owner occupied. CRE loans are made across a variety of industries, as depicted in the table below. Balances reflected in the table below do not include loan origination fees or costs, purchase accounting adjustments, SBA discounts, or negative escrow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1"/>
                <w:szCs w:val="11"/>
                <w:b w:val="1"/>
                <w:bCs w:val="1"/>
                <w:color w:val="auto"/>
              </w:rPr>
              <w:t>As of March 31, 2025</w:t>
            </w: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r>
      <w:tr>
        <w:trPr>
          <w:trHeight w:val="277"/>
        </w:trPr>
        <w:tc>
          <w:tcPr>
            <w:tcW w:w="5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Owned By</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1"/>
                <w:szCs w:val="11"/>
                <w:b w:val="1"/>
                <w:bCs w:val="1"/>
                <w:color w:val="auto"/>
              </w:rPr>
              <w:t>% of CRE Loans That Are</w:t>
            </w:r>
          </w:p>
        </w:tc>
      </w:tr>
      <w:tr>
        <w:trPr>
          <w:trHeight w:val="150"/>
        </w:trPr>
        <w:tc>
          <w:tcPr>
            <w:tcW w:w="54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4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1"/>
                <w:szCs w:val="11"/>
                <w:b w:val="1"/>
                <w:bCs w:val="1"/>
                <w:color w:val="auto"/>
              </w:rPr>
              <w:t>CRE Loans</w:t>
            </w:r>
          </w:p>
        </w:tc>
        <w:tc>
          <w:tcPr>
            <w:tcW w:w="26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Arial" w:cs="Arial" w:eastAsia="Arial" w:hAnsi="Arial"/>
                <w:sz w:val="11"/>
                <w:szCs w:val="11"/>
                <w:b w:val="1"/>
                <w:bCs w:val="1"/>
                <w:color w:val="auto"/>
              </w:rPr>
              <w:t>Investor</w:t>
            </w:r>
          </w:p>
        </w:tc>
        <w:tc>
          <w:tcPr>
            <w:tcW w:w="320" w:type="dxa"/>
            <w:vAlign w:val="bottom"/>
          </w:tcPr>
          <w:p>
            <w:pPr>
              <w:spacing w:after="0"/>
              <w:rPr>
                <w:sz w:val="13"/>
                <w:szCs w:val="13"/>
                <w:color w:val="auto"/>
              </w:rPr>
            </w:pPr>
          </w:p>
        </w:tc>
        <w:tc>
          <w:tcPr>
            <w:tcW w:w="1040" w:type="dxa"/>
            <w:vAlign w:val="bottom"/>
          </w:tcPr>
          <w:p>
            <w:pPr>
              <w:jc w:val="right"/>
              <w:ind w:right="350"/>
              <w:spacing w:after="0"/>
              <w:rPr>
                <w:sz w:val="20"/>
                <w:szCs w:val="20"/>
                <w:color w:val="auto"/>
              </w:rPr>
            </w:pPr>
            <w:r>
              <w:rPr>
                <w:rFonts w:ascii="Arial" w:cs="Arial" w:eastAsia="Arial" w:hAnsi="Arial"/>
                <w:sz w:val="11"/>
                <w:szCs w:val="11"/>
                <w:b w:val="1"/>
                <w:bCs w:val="1"/>
                <w:color w:val="auto"/>
              </w:rPr>
              <w:t>Occupant</w:t>
            </w:r>
          </w:p>
        </w:tc>
        <w:tc>
          <w:tcPr>
            <w:tcW w:w="80" w:type="dxa"/>
            <w:vAlign w:val="bottom"/>
          </w:tcPr>
          <w:p>
            <w:pPr>
              <w:spacing w:after="0"/>
              <w:rPr>
                <w:sz w:val="13"/>
                <w:szCs w:val="13"/>
                <w:color w:val="auto"/>
              </w:rPr>
            </w:pPr>
          </w:p>
        </w:tc>
        <w:tc>
          <w:tcPr>
            <w:tcW w:w="1480" w:type="dxa"/>
            <w:vAlign w:val="bottom"/>
          </w:tcPr>
          <w:p>
            <w:pPr>
              <w:jc w:val="right"/>
              <w:ind w:right="236"/>
              <w:spacing w:after="0"/>
              <w:rPr>
                <w:sz w:val="20"/>
                <w:szCs w:val="20"/>
                <w:color w:val="auto"/>
              </w:rPr>
            </w:pPr>
            <w:r>
              <w:rPr>
                <w:rFonts w:ascii="Arial" w:cs="Arial" w:eastAsia="Arial" w:hAnsi="Arial"/>
                <w:sz w:val="11"/>
                <w:szCs w:val="11"/>
                <w:b w:val="1"/>
                <w:bCs w:val="1"/>
                <w:color w:val="auto"/>
              </w:rPr>
              <w:t>Owner Occupied</w:t>
            </w:r>
          </w:p>
        </w:tc>
      </w:tr>
      <w:tr>
        <w:trPr>
          <w:trHeight w:val="192"/>
        </w:trPr>
        <w:tc>
          <w:tcPr>
            <w:tcW w:w="54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Industry</w:t>
            </w:r>
          </w:p>
        </w:tc>
        <w:tc>
          <w:tcPr>
            <w:tcW w:w="240" w:type="dxa"/>
            <w:vAlign w:val="bottom"/>
            <w:tcBorders>
              <w:top w:val="single" w:sz="8" w:color="auto"/>
            </w:tcBorders>
            <w:shd w:val="clear" w:color="auto" w:fill="E0E7ED"/>
          </w:tcPr>
          <w:p>
            <w:pPr>
              <w:spacing w:after="0"/>
              <w:rPr>
                <w:sz w:val="16"/>
                <w:szCs w:val="16"/>
                <w:color w:val="auto"/>
              </w:rPr>
            </w:pPr>
          </w:p>
        </w:tc>
        <w:tc>
          <w:tcPr>
            <w:tcW w:w="112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260" w:type="dxa"/>
            <w:vAlign w:val="bottom"/>
            <w:tcBorders>
              <w:top w:val="single" w:sz="8" w:color="auto"/>
            </w:tcBorders>
            <w:shd w:val="clear" w:color="auto" w:fill="E0E7ED"/>
          </w:tcPr>
          <w:p>
            <w:pPr>
              <w:spacing w:after="0"/>
              <w:rPr>
                <w:sz w:val="16"/>
                <w:szCs w:val="16"/>
                <w:color w:val="auto"/>
              </w:rPr>
            </w:pPr>
          </w:p>
        </w:tc>
        <w:tc>
          <w:tcPr>
            <w:tcW w:w="108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320" w:type="dxa"/>
            <w:vAlign w:val="bottom"/>
            <w:tcBorders>
              <w:top w:val="single" w:sz="8" w:color="auto"/>
            </w:tcBorders>
            <w:shd w:val="clear" w:color="auto" w:fill="E0E7ED"/>
          </w:tcPr>
          <w:p>
            <w:pPr>
              <w:spacing w:after="0"/>
              <w:rPr>
                <w:sz w:val="16"/>
                <w:szCs w:val="16"/>
                <w:color w:val="auto"/>
              </w:rPr>
            </w:pPr>
          </w:p>
        </w:tc>
        <w:tc>
          <w:tcPr>
            <w:tcW w:w="10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480" w:type="dxa"/>
            <w:vAlign w:val="bottom"/>
            <w:tcBorders>
              <w:top w:val="single" w:sz="8" w:color="auto"/>
            </w:tcBorders>
            <w:shd w:val="clear" w:color="auto" w:fill="E0E7ED"/>
          </w:tcPr>
          <w:p>
            <w:pPr>
              <w:spacing w:after="0"/>
              <w:rPr>
                <w:sz w:val="16"/>
                <w:szCs w:val="16"/>
                <w:color w:val="auto"/>
              </w:rPr>
            </w:pPr>
          </w:p>
        </w:tc>
      </w:tr>
      <w:tr>
        <w:trPr>
          <w:trHeight w:val="202"/>
        </w:trPr>
        <w:tc>
          <w:tcPr>
            <w:tcW w:w="5460" w:type="dxa"/>
            <w:vAlign w:val="bottom"/>
          </w:tcPr>
          <w:p>
            <w:pPr>
              <w:ind w:left="140"/>
              <w:spacing w:after="0"/>
              <w:rPr>
                <w:sz w:val="20"/>
                <w:szCs w:val="20"/>
                <w:color w:val="auto"/>
              </w:rPr>
            </w:pPr>
            <w:r>
              <w:rPr>
                <w:rFonts w:ascii="Arial" w:cs="Arial" w:eastAsia="Arial" w:hAnsi="Arial"/>
                <w:sz w:val="14"/>
                <w:szCs w:val="14"/>
                <w:color w:val="auto"/>
              </w:rPr>
              <w:t>Industrial/Warehouse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1,336,299</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889,654</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446,645</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33.4 %</w:t>
            </w:r>
          </w:p>
        </w:tc>
      </w:tr>
      <w:tr>
        <w:trPr>
          <w:trHeight w:val="222"/>
        </w:trPr>
        <w:tc>
          <w:tcPr>
            <w:tcW w:w="5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Apartments</w:t>
            </w: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942,806</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942,806</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9"/>
                <w:szCs w:val="19"/>
                <w:color w:val="auto"/>
              </w:rPr>
            </w:pPr>
          </w:p>
        </w:tc>
        <w:tc>
          <w:tcPr>
            <w:tcW w:w="14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 %</w:t>
            </w:r>
          </w:p>
        </w:tc>
      </w:tr>
      <w:tr>
        <w:trPr>
          <w:trHeight w:val="202"/>
        </w:trPr>
        <w:tc>
          <w:tcPr>
            <w:tcW w:w="5460" w:type="dxa"/>
            <w:vAlign w:val="bottom"/>
          </w:tcPr>
          <w:p>
            <w:pPr>
              <w:ind w:left="140"/>
              <w:spacing w:after="0"/>
              <w:rPr>
                <w:sz w:val="20"/>
                <w:szCs w:val="20"/>
                <w:color w:val="auto"/>
              </w:rPr>
            </w:pPr>
            <w:r>
              <w:rPr>
                <w:rFonts w:ascii="Arial" w:cs="Arial" w:eastAsia="Arial" w:hAnsi="Arial"/>
                <w:sz w:val="14"/>
                <w:szCs w:val="14"/>
                <w:color w:val="auto"/>
              </w:rPr>
              <w:t>Retail</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862,983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746,025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116,958</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13.6 %</w:t>
            </w:r>
          </w:p>
        </w:tc>
      </w:tr>
      <w:tr>
        <w:trPr>
          <w:trHeight w:val="222"/>
        </w:trPr>
        <w:tc>
          <w:tcPr>
            <w:tcW w:w="5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Traditional Office</w:t>
            </w: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689,888</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490,948</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198,940</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28.8 %</w:t>
            </w:r>
          </w:p>
        </w:tc>
      </w:tr>
      <w:tr>
        <w:trPr>
          <w:trHeight w:val="202"/>
        </w:trPr>
        <w:tc>
          <w:tcPr>
            <w:tcW w:w="5460" w:type="dxa"/>
            <w:vAlign w:val="bottom"/>
          </w:tcPr>
          <w:p>
            <w:pPr>
              <w:ind w:left="140"/>
              <w:spacing w:after="0"/>
              <w:rPr>
                <w:sz w:val="20"/>
                <w:szCs w:val="20"/>
                <w:color w:val="auto"/>
              </w:rPr>
            </w:pPr>
            <w:r>
              <w:rPr>
                <w:rFonts w:ascii="Arial" w:cs="Arial" w:eastAsia="Arial" w:hAnsi="Arial"/>
                <w:sz w:val="14"/>
                <w:szCs w:val="14"/>
                <w:color w:val="auto"/>
              </w:rPr>
              <w:t>Land, Acquisition, and Development</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661,773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657,238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4,535</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0.7 %</w:t>
            </w:r>
          </w:p>
        </w:tc>
      </w:tr>
      <w:tr>
        <w:trPr>
          <w:trHeight w:val="222"/>
        </w:trPr>
        <w:tc>
          <w:tcPr>
            <w:tcW w:w="5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Specialty</w:t>
            </w: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479,967</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174,718</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305,249</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63.6 %</w:t>
            </w:r>
          </w:p>
        </w:tc>
      </w:tr>
      <w:tr>
        <w:trPr>
          <w:trHeight w:val="202"/>
        </w:trPr>
        <w:tc>
          <w:tcPr>
            <w:tcW w:w="5460" w:type="dxa"/>
            <w:vAlign w:val="bottom"/>
          </w:tcPr>
          <w:p>
            <w:pPr>
              <w:ind w:left="140"/>
              <w:spacing w:after="0"/>
              <w:rPr>
                <w:sz w:val="20"/>
                <w:szCs w:val="20"/>
                <w:color w:val="auto"/>
              </w:rPr>
            </w:pPr>
            <w:r>
              <w:rPr>
                <w:rFonts w:ascii="Arial" w:cs="Arial" w:eastAsia="Arial" w:hAnsi="Arial"/>
                <w:sz w:val="14"/>
                <w:szCs w:val="14"/>
                <w:color w:val="auto"/>
              </w:rPr>
              <w:t>Hotel</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376,516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375,929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587</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0.2 %</w:t>
            </w:r>
          </w:p>
        </w:tc>
      </w:tr>
      <w:tr>
        <w:trPr>
          <w:trHeight w:val="222"/>
        </w:trPr>
        <w:tc>
          <w:tcPr>
            <w:tcW w:w="5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Medical Office</w:t>
            </w: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235,541</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161,225</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74,316</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31.6 %</w:t>
            </w:r>
          </w:p>
        </w:tc>
      </w:tr>
      <w:tr>
        <w:trPr>
          <w:trHeight w:val="202"/>
        </w:trPr>
        <w:tc>
          <w:tcPr>
            <w:tcW w:w="5460" w:type="dxa"/>
            <w:vAlign w:val="bottom"/>
          </w:tcPr>
          <w:p>
            <w:pPr>
              <w:ind w:left="140"/>
              <w:spacing w:after="0"/>
              <w:rPr>
                <w:sz w:val="20"/>
                <w:szCs w:val="20"/>
                <w:color w:val="auto"/>
              </w:rPr>
            </w:pPr>
            <w:r>
              <w:rPr>
                <w:rFonts w:ascii="Arial" w:cs="Arial" w:eastAsia="Arial" w:hAnsi="Arial"/>
                <w:sz w:val="14"/>
                <w:szCs w:val="14"/>
                <w:color w:val="auto"/>
              </w:rPr>
              <w:t>Student Housing</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232,099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232,099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22"/>
        </w:trPr>
        <w:tc>
          <w:tcPr>
            <w:tcW w:w="5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Senior Housing</w:t>
            </w: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230,423</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179,237</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51,186</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22.2 %</w:t>
            </w:r>
          </w:p>
        </w:tc>
      </w:tr>
      <w:tr>
        <w:trPr>
          <w:trHeight w:val="202"/>
        </w:trPr>
        <w:tc>
          <w:tcPr>
            <w:tcW w:w="5460" w:type="dxa"/>
            <w:vAlign w:val="bottom"/>
          </w:tcPr>
          <w:p>
            <w:pPr>
              <w:ind w:left="140"/>
              <w:spacing w:after="0"/>
              <w:rPr>
                <w:sz w:val="20"/>
                <w:szCs w:val="20"/>
                <w:color w:val="auto"/>
              </w:rPr>
            </w:pPr>
            <w:r>
              <w:rPr>
                <w:rFonts w:ascii="Arial" w:cs="Arial" w:eastAsia="Arial" w:hAnsi="Arial"/>
                <w:sz w:val="14"/>
                <w:szCs w:val="14"/>
                <w:color w:val="auto"/>
              </w:rPr>
              <w:t>1-4 Family</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207,717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172,147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35,570</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17.1 %</w:t>
            </w:r>
          </w:p>
        </w:tc>
      </w:tr>
      <w:tr>
        <w:trPr>
          <w:trHeight w:val="222"/>
        </w:trPr>
        <w:tc>
          <w:tcPr>
            <w:tcW w:w="5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Restaurant</w:t>
            </w: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154,820</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29,747</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125,073</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80.8 %</w:t>
            </w:r>
          </w:p>
        </w:tc>
      </w:tr>
      <w:tr>
        <w:trPr>
          <w:trHeight w:val="202"/>
        </w:trPr>
        <w:tc>
          <w:tcPr>
            <w:tcW w:w="5460" w:type="dxa"/>
            <w:vAlign w:val="bottom"/>
          </w:tcPr>
          <w:p>
            <w:pPr>
              <w:ind w:left="140"/>
              <w:spacing w:after="0"/>
              <w:rPr>
                <w:sz w:val="20"/>
                <w:szCs w:val="20"/>
                <w:color w:val="auto"/>
              </w:rPr>
            </w:pPr>
            <w:r>
              <w:rPr>
                <w:rFonts w:ascii="Arial" w:cs="Arial" w:eastAsia="Arial" w:hAnsi="Arial"/>
                <w:sz w:val="14"/>
                <w:szCs w:val="14"/>
                <w:color w:val="auto"/>
              </w:rPr>
              <w:t>Nursing Homes</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112,871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111,240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1,631</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1.4 %</w:t>
            </w:r>
          </w:p>
        </w:tc>
      </w:tr>
      <w:tr>
        <w:trPr>
          <w:trHeight w:val="222"/>
        </w:trPr>
        <w:tc>
          <w:tcPr>
            <w:tcW w:w="5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Health Care</w:t>
            </w:r>
          </w:p>
        </w:tc>
        <w:tc>
          <w:tcPr>
            <w:tcW w:w="2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22,267</w:t>
            </w: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2,267</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10.2 %</w:t>
            </w:r>
          </w:p>
        </w:tc>
      </w:tr>
      <w:tr>
        <w:trPr>
          <w:trHeight w:val="203"/>
        </w:trPr>
        <w:tc>
          <w:tcPr>
            <w:tcW w:w="54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119,676</w:t>
            </w:r>
          </w:p>
        </w:tc>
        <w:tc>
          <w:tcPr>
            <w:tcW w:w="10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30,131</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89,545</w:t>
            </w:r>
          </w:p>
        </w:tc>
        <w:tc>
          <w:tcPr>
            <w:tcW w:w="156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74.8 %</w:t>
            </w:r>
          </w:p>
        </w:tc>
      </w:tr>
      <w:tr>
        <w:trPr>
          <w:trHeight w:val="237"/>
        </w:trPr>
        <w:tc>
          <w:tcPr>
            <w:tcW w:w="5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E0E7ED"/>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6,665,646</w:t>
            </w:r>
          </w:p>
        </w:tc>
        <w:tc>
          <w:tcPr>
            <w:tcW w:w="100" w:type="dxa"/>
            <w:vAlign w:val="bottom"/>
            <w:tcBorders>
              <w:bottom w:val="single" w:sz="8" w:color="E0E7ED"/>
            </w:tcBorders>
            <w:shd w:val="clear" w:color="auto" w:fill="E0E7ED"/>
          </w:tcPr>
          <w:p>
            <w:pPr>
              <w:spacing w:after="0"/>
              <w:rPr>
                <w:sz w:val="20"/>
                <w:szCs w:val="20"/>
                <w:color w:val="auto"/>
              </w:rPr>
            </w:pPr>
          </w:p>
        </w:tc>
        <w:tc>
          <w:tcPr>
            <w:tcW w:w="260" w:type="dxa"/>
            <w:vAlign w:val="bottom"/>
            <w:tcBorders>
              <w:bottom w:val="single" w:sz="8" w:color="auto"/>
            </w:tcBorders>
            <w:shd w:val="clear" w:color="auto" w:fill="E0E7ED"/>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5,213,144</w:t>
            </w:r>
          </w:p>
        </w:tc>
        <w:tc>
          <w:tcPr>
            <w:tcW w:w="100" w:type="dxa"/>
            <w:vAlign w:val="bottom"/>
            <w:tcBorders>
              <w:bottom w:val="single" w:sz="8" w:color="E0E7ED"/>
            </w:tcBorders>
            <w:shd w:val="clear" w:color="auto" w:fill="E0E7ED"/>
          </w:tcPr>
          <w:p>
            <w:pPr>
              <w:spacing w:after="0"/>
              <w:rPr>
                <w:sz w:val="20"/>
                <w:szCs w:val="20"/>
                <w:color w:val="auto"/>
              </w:rPr>
            </w:pPr>
          </w:p>
        </w:tc>
        <w:tc>
          <w:tcPr>
            <w:tcW w:w="320" w:type="dxa"/>
            <w:vAlign w:val="bottom"/>
            <w:tcBorders>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1,452,502</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4"/>
                <w:szCs w:val="14"/>
                <w:color w:val="auto"/>
              </w:rPr>
              <w:t>21.8 %</w:t>
            </w:r>
          </w:p>
        </w:tc>
      </w:tr>
      <w:tr>
        <w:trPr>
          <w:trHeight w:val="20"/>
        </w:trPr>
        <w:tc>
          <w:tcPr>
            <w:tcW w:w="546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Allowance and Provision for Credit Losses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ACL is a significant estimate on Busey’s unaudited consolidated financial statements, affecting both earnings and capital. The methodology adopted influences, and is influenced by, Busey’s overall credit risk management processes. The ACL is recorded in accordance with GAAP to provide an adequate reserve for expected credit losses that is reflective of management’s best estimate of what is expected to be collected. Estimates of credit losses are based on a careful consideration of all significant factors affecting the collectability as of the evaluation date. The ACL is established through the provision for credit loss expense charged to income. Provision expenses (releases) were recorded as follows for each of the years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ind w:left="260"/>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4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2024</w:t>
            </w:r>
          </w:p>
        </w:tc>
      </w:tr>
      <w:tr>
        <w:trPr>
          <w:trHeight w:val="203"/>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Provision for credit losses</w:t>
            </w:r>
          </w:p>
        </w:tc>
        <w:tc>
          <w:tcPr>
            <w:tcW w:w="320" w:type="dxa"/>
            <w:vAlign w:val="bottom"/>
            <w:shd w:val="clear" w:color="auto" w:fill="E0E7ED"/>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42,452</w:t>
            </w: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5,038</w:t>
            </w:r>
          </w:p>
        </w:tc>
      </w:tr>
    </w:tbl>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2025 provision for credit losses includes $42.4 million provision expense recorded to establish an initial ACL for non-PCD loans immediately following the close of the CrossFirst acquisition in accordance with ASC 326-20-30-15. The remaining first quarter 2025 provision between Busey Bank and CrossFirst Bank was immaterial.</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82" w:name="page83"/>
    <w:bookmarkEnd w:id="82"/>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The ACL and the ratio of ACL to portfolio loan balances is presented below by lending activity: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As of March 31, 2025</w:t>
            </w: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As of December 31, 2024</w:t>
            </w:r>
          </w:p>
        </w:tc>
        <w:tc>
          <w:tcPr>
            <w:tcW w:w="1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6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8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Portfolio Loans</w:t>
            </w:r>
          </w:p>
        </w:tc>
        <w:tc>
          <w:tcPr>
            <w:tcW w:w="120" w:type="dxa"/>
            <w:vAlign w:val="bottom"/>
          </w:tcPr>
          <w:p>
            <w:pPr>
              <w:spacing w:after="0"/>
              <w:rPr>
                <w:sz w:val="9"/>
                <w:szCs w:val="9"/>
                <w:color w:val="auto"/>
              </w:rPr>
            </w:pPr>
          </w:p>
        </w:tc>
        <w:tc>
          <w:tcPr>
            <w:tcW w:w="1220" w:type="dxa"/>
            <w:vAlign w:val="bottom"/>
            <w:vMerge w:val="restart"/>
          </w:tcPr>
          <w:p>
            <w:pPr>
              <w:jc w:val="right"/>
              <w:ind w:right="492"/>
              <w:spacing w:after="0"/>
              <w:rPr>
                <w:sz w:val="20"/>
                <w:szCs w:val="20"/>
                <w:color w:val="auto"/>
              </w:rPr>
            </w:pPr>
            <w:r>
              <w:rPr>
                <w:rFonts w:ascii="Arial" w:cs="Arial" w:eastAsia="Arial" w:hAnsi="Arial"/>
                <w:sz w:val="11"/>
                <w:szCs w:val="11"/>
                <w:b w:val="1"/>
                <w:bCs w:val="1"/>
                <w:color w:val="auto"/>
              </w:rPr>
              <w:t>ACL</w:t>
            </w:r>
          </w:p>
        </w:tc>
        <w:tc>
          <w:tcPr>
            <w:tcW w:w="80" w:type="dxa"/>
            <w:vAlign w:val="bottom"/>
          </w:tcPr>
          <w:p>
            <w:pPr>
              <w:spacing w:after="0"/>
              <w:rPr>
                <w:sz w:val="9"/>
                <w:szCs w:val="9"/>
                <w:color w:val="auto"/>
              </w:rPr>
            </w:pPr>
          </w:p>
        </w:tc>
        <w:tc>
          <w:tcPr>
            <w:tcW w:w="1540" w:type="dxa"/>
            <w:vAlign w:val="bottom"/>
            <w:gridSpan w:val="2"/>
          </w:tcPr>
          <w:p>
            <w:pPr>
              <w:ind w:left="320"/>
              <w:spacing w:after="0" w:line="107" w:lineRule="exact"/>
              <w:rPr>
                <w:sz w:val="20"/>
                <w:szCs w:val="20"/>
                <w:color w:val="auto"/>
              </w:rPr>
            </w:pPr>
            <w:r>
              <w:rPr>
                <w:rFonts w:ascii="Arial" w:cs="Arial" w:eastAsia="Arial" w:hAnsi="Arial"/>
                <w:sz w:val="11"/>
                <w:szCs w:val="11"/>
                <w:b w:val="1"/>
                <w:bCs w:val="1"/>
                <w:color w:val="auto"/>
              </w:rPr>
              <w:t>Ratio of ACL to</w:t>
            </w:r>
          </w:p>
        </w:tc>
        <w:tc>
          <w:tcPr>
            <w:tcW w:w="180" w:type="dxa"/>
            <w:vAlign w:val="bottom"/>
          </w:tcPr>
          <w:p>
            <w:pPr>
              <w:spacing w:after="0"/>
              <w:rPr>
                <w:sz w:val="9"/>
                <w:szCs w:val="9"/>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Portfolio Loans</w:t>
            </w:r>
          </w:p>
        </w:tc>
        <w:tc>
          <w:tcPr>
            <w:tcW w:w="320" w:type="dxa"/>
            <w:vAlign w:val="bottom"/>
          </w:tcPr>
          <w:p>
            <w:pPr>
              <w:spacing w:after="0"/>
              <w:rPr>
                <w:sz w:val="9"/>
                <w:szCs w:val="9"/>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ACL</w:t>
            </w:r>
          </w:p>
        </w:tc>
        <w:tc>
          <w:tcPr>
            <w:tcW w:w="1460" w:type="dxa"/>
            <w:vAlign w:val="bottom"/>
          </w:tcPr>
          <w:p>
            <w:pPr>
              <w:jc w:val="right"/>
              <w:ind w:right="252"/>
              <w:spacing w:after="0" w:line="107" w:lineRule="exact"/>
              <w:rPr>
                <w:sz w:val="20"/>
                <w:szCs w:val="20"/>
                <w:color w:val="auto"/>
              </w:rPr>
            </w:pPr>
            <w:r>
              <w:rPr>
                <w:rFonts w:ascii="Arial" w:cs="Arial" w:eastAsia="Arial" w:hAnsi="Arial"/>
                <w:sz w:val="11"/>
                <w:szCs w:val="11"/>
                <w:b w:val="1"/>
                <w:bCs w:val="1"/>
                <w:color w:val="auto"/>
              </w:rPr>
              <w:t>Ratio of ACL to</w:t>
            </w:r>
          </w:p>
        </w:tc>
        <w:tc>
          <w:tcPr>
            <w:tcW w:w="0" w:type="dxa"/>
            <w:vAlign w:val="bottom"/>
          </w:tcPr>
          <w:p>
            <w:pPr>
              <w:spacing w:after="0"/>
              <w:rPr>
                <w:sz w:val="1"/>
                <w:szCs w:val="1"/>
                <w:color w:val="auto"/>
              </w:rPr>
            </w:pPr>
          </w:p>
        </w:tc>
      </w:tr>
      <w:tr>
        <w:trPr>
          <w:trHeight w:val="138"/>
        </w:trPr>
        <w:tc>
          <w:tcPr>
            <w:tcW w:w="2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ind w:left="320"/>
              <w:spacing w:after="0"/>
              <w:rPr>
                <w:sz w:val="20"/>
                <w:szCs w:val="20"/>
                <w:color w:val="auto"/>
              </w:rPr>
            </w:pPr>
            <w:r>
              <w:rPr>
                <w:rFonts w:ascii="Arial" w:cs="Arial" w:eastAsia="Arial" w:hAnsi="Arial"/>
                <w:sz w:val="11"/>
                <w:szCs w:val="11"/>
                <w:b w:val="1"/>
                <w:bCs w:val="1"/>
                <w:color w:val="auto"/>
              </w:rPr>
              <w:t>Portfolio Loans</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60" w:type="dxa"/>
            <w:vAlign w:val="bottom"/>
          </w:tcPr>
          <w:p>
            <w:pPr>
              <w:jc w:val="right"/>
              <w:ind w:right="232"/>
              <w:spacing w:after="0"/>
              <w:rPr>
                <w:sz w:val="20"/>
                <w:szCs w:val="20"/>
                <w:color w:val="auto"/>
              </w:rPr>
            </w:pPr>
            <w:r>
              <w:rPr>
                <w:rFonts w:ascii="Arial" w:cs="Arial" w:eastAsia="Arial" w:hAnsi="Arial"/>
                <w:sz w:val="11"/>
                <w:szCs w:val="11"/>
                <w:b w:val="1"/>
                <w:bCs w:val="1"/>
                <w:color w:val="auto"/>
              </w:rPr>
              <w:t>Portfolio Loans</w:t>
            </w:r>
          </w:p>
        </w:tc>
        <w:tc>
          <w:tcPr>
            <w:tcW w:w="0" w:type="dxa"/>
            <w:vAlign w:val="bottom"/>
          </w:tcPr>
          <w:p>
            <w:pPr>
              <w:spacing w:after="0"/>
              <w:rPr>
                <w:sz w:val="1"/>
                <w:szCs w:val="1"/>
                <w:color w:val="auto"/>
              </w:rPr>
            </w:pPr>
          </w:p>
        </w:tc>
      </w:tr>
      <w:tr>
        <w:trPr>
          <w:trHeight w:val="192"/>
        </w:trPr>
        <w:tc>
          <w:tcPr>
            <w:tcW w:w="26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Commercial</w:t>
            </w:r>
          </w:p>
        </w:tc>
        <w:tc>
          <w:tcPr>
            <w:tcW w:w="180" w:type="dxa"/>
            <w:vAlign w:val="bottom"/>
            <w:tcBorders>
              <w:top w:val="single" w:sz="8" w:color="auto"/>
            </w:tcBorders>
            <w:shd w:val="clear" w:color="auto" w:fill="E0E7ED"/>
          </w:tcPr>
          <w:p>
            <w:pPr>
              <w:spacing w:after="0"/>
              <w:rPr>
                <w:sz w:val="16"/>
                <w:szCs w:val="16"/>
                <w:color w:val="auto"/>
              </w:rPr>
            </w:pPr>
          </w:p>
        </w:tc>
        <w:tc>
          <w:tcPr>
            <w:tcW w:w="118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20" w:type="dxa"/>
            <w:vAlign w:val="bottom"/>
            <w:tcBorders>
              <w:top w:val="single" w:sz="8" w:color="auto"/>
            </w:tcBorders>
            <w:shd w:val="clear" w:color="auto" w:fill="E0E7ED"/>
          </w:tcPr>
          <w:p>
            <w:pPr>
              <w:spacing w:after="0"/>
              <w:rPr>
                <w:sz w:val="16"/>
                <w:szCs w:val="16"/>
                <w:color w:val="auto"/>
              </w:rPr>
            </w:pPr>
          </w:p>
        </w:tc>
        <w:tc>
          <w:tcPr>
            <w:tcW w:w="122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4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80" w:type="dxa"/>
            <w:vAlign w:val="bottom"/>
            <w:tcBorders>
              <w:top w:val="single" w:sz="8" w:color="auto"/>
            </w:tcBorders>
            <w:shd w:val="clear" w:color="auto" w:fill="E0E7ED"/>
          </w:tcPr>
          <w:p>
            <w:pPr>
              <w:spacing w:after="0"/>
              <w:rPr>
                <w:sz w:val="16"/>
                <w:szCs w:val="16"/>
                <w:color w:val="auto"/>
              </w:rPr>
            </w:pPr>
          </w:p>
        </w:tc>
        <w:tc>
          <w:tcPr>
            <w:tcW w:w="11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320" w:type="dxa"/>
            <w:vAlign w:val="bottom"/>
            <w:tcBorders>
              <w:top w:val="single" w:sz="8" w:color="auto"/>
            </w:tcBorders>
            <w:shd w:val="clear" w:color="auto" w:fill="E0E7ED"/>
          </w:tcPr>
          <w:p>
            <w:pPr>
              <w:spacing w:after="0"/>
              <w:rPr>
                <w:sz w:val="16"/>
                <w:szCs w:val="16"/>
                <w:color w:val="auto"/>
              </w:rPr>
            </w:pPr>
          </w:p>
        </w:tc>
        <w:tc>
          <w:tcPr>
            <w:tcW w:w="100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46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00" w:type="dxa"/>
            <w:vAlign w:val="bottom"/>
          </w:tcPr>
          <w:p>
            <w:pPr>
              <w:ind w:left="140"/>
              <w:spacing w:after="0"/>
              <w:rPr>
                <w:sz w:val="20"/>
                <w:szCs w:val="20"/>
                <w:color w:val="auto"/>
              </w:rPr>
            </w:pPr>
            <w:r>
              <w:rPr>
                <w:rFonts w:ascii="Arial" w:cs="Arial" w:eastAsia="Arial" w:hAnsi="Arial"/>
                <w:sz w:val="14"/>
                <w:szCs w:val="14"/>
                <w:color w:val="auto"/>
              </w:rPr>
              <w:t>C&amp;I and other commercial</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4,513,543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89,304</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1.98 %</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1,904,515</w:t>
            </w:r>
          </w:p>
        </w:tc>
        <w:tc>
          <w:tcPr>
            <w:tcW w:w="80" w:type="dxa"/>
            <w:vAlign w:val="bottom"/>
          </w:tcPr>
          <w:p>
            <w:pPr>
              <w:spacing w:after="0"/>
              <w:rPr>
                <w:sz w:val="17"/>
                <w:szCs w:val="17"/>
                <w:color w:val="auto"/>
              </w:rPr>
            </w:pPr>
          </w:p>
        </w:tc>
        <w:tc>
          <w:tcPr>
            <w:tcW w:w="32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21,589</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1.13 %</w:t>
            </w:r>
          </w:p>
        </w:tc>
        <w:tc>
          <w:tcPr>
            <w:tcW w:w="0" w:type="dxa"/>
            <w:vAlign w:val="bottom"/>
          </w:tcPr>
          <w:p>
            <w:pPr>
              <w:spacing w:after="0"/>
              <w:rPr>
                <w:sz w:val="1"/>
                <w:szCs w:val="1"/>
                <w:color w:val="auto"/>
              </w:rPr>
            </w:pPr>
          </w:p>
        </w:tc>
      </w:tr>
      <w:tr>
        <w:trPr>
          <w:trHeight w:val="222"/>
        </w:trPr>
        <w:tc>
          <w:tcPr>
            <w:tcW w:w="26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CRE</w:t>
            </w: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5,573,766</w:t>
            </w:r>
          </w:p>
        </w:tc>
        <w:tc>
          <w:tcPr>
            <w:tcW w:w="8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68,478</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1.23 %</w:t>
            </w:r>
          </w:p>
        </w:tc>
        <w:tc>
          <w:tcPr>
            <w:tcW w:w="8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3,269,564</w:t>
            </w: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32,301</w:t>
            </w:r>
          </w:p>
        </w:tc>
        <w:tc>
          <w:tcPr>
            <w:tcW w:w="80" w:type="dxa"/>
            <w:vAlign w:val="bottom"/>
            <w:shd w:val="clear" w:color="auto" w:fill="E0E7ED"/>
          </w:tcPr>
          <w:p>
            <w:pPr>
              <w:spacing w:after="0"/>
              <w:rPr>
                <w:sz w:val="19"/>
                <w:szCs w:val="19"/>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0.99 %</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Real estate construction</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1,051,179</w:t>
            </w:r>
          </w:p>
        </w:tc>
        <w:tc>
          <w:tcPr>
            <w:tcW w:w="80" w:type="dxa"/>
            <w:vAlign w:val="bottom"/>
            <w:tcBorders>
              <w:bottom w:val="single" w:sz="8" w:color="E0E7E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8,689</w:t>
            </w:r>
          </w:p>
        </w:tc>
        <w:tc>
          <w:tcPr>
            <w:tcW w:w="154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0.83 %</w:t>
            </w:r>
          </w:p>
        </w:tc>
        <w:tc>
          <w:tcPr>
            <w:tcW w:w="8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378,209</w:t>
            </w:r>
          </w:p>
        </w:tc>
        <w:tc>
          <w:tcPr>
            <w:tcW w:w="8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3,345</w:t>
            </w:r>
          </w:p>
        </w:tc>
        <w:tc>
          <w:tcPr>
            <w:tcW w:w="80" w:type="dxa"/>
            <w:vAlign w:val="bottom"/>
            <w:tcBorders>
              <w:bottom w:val="single" w:sz="8" w:color="E0E7ED"/>
            </w:tcBorders>
          </w:tcPr>
          <w:p>
            <w:pPr>
              <w:spacing w:after="0"/>
              <w:rPr>
                <w:sz w:val="17"/>
                <w:szCs w:val="17"/>
                <w:color w:val="auto"/>
              </w:rPr>
            </w:pPr>
          </w:p>
        </w:tc>
        <w:tc>
          <w:tcPr>
            <w:tcW w:w="1460" w:type="dxa"/>
            <w:vAlign w:val="bottom"/>
            <w:tcBorders>
              <w:bottom w:val="single" w:sz="8" w:color="E0E7ED"/>
            </w:tcBorders>
          </w:tcPr>
          <w:p>
            <w:pPr>
              <w:jc w:val="right"/>
              <w:spacing w:after="0"/>
              <w:rPr>
                <w:sz w:val="20"/>
                <w:szCs w:val="20"/>
                <w:color w:val="auto"/>
              </w:rPr>
            </w:pPr>
            <w:r>
              <w:rPr>
                <w:rFonts w:ascii="Arial" w:cs="Arial" w:eastAsia="Arial" w:hAnsi="Arial"/>
                <w:sz w:val="14"/>
                <w:szCs w:val="14"/>
                <w:color w:val="auto"/>
              </w:rPr>
              <w:t>0.88 %</w:t>
            </w:r>
          </w:p>
        </w:tc>
        <w:tc>
          <w:tcPr>
            <w:tcW w:w="0" w:type="dxa"/>
            <w:vAlign w:val="bottom"/>
          </w:tcPr>
          <w:p>
            <w:pPr>
              <w:spacing w:after="0"/>
              <w:rPr>
                <w:sz w:val="1"/>
                <w:szCs w:val="1"/>
                <w:color w:val="auto"/>
              </w:rPr>
            </w:pPr>
          </w:p>
        </w:tc>
      </w:tr>
      <w:tr>
        <w:trPr>
          <w:trHeight w:val="212"/>
        </w:trPr>
        <w:tc>
          <w:tcPr>
            <w:tcW w:w="260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commercial</w:t>
            </w:r>
          </w:p>
        </w:tc>
        <w:tc>
          <w:tcPr>
            <w:tcW w:w="18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11,138,488</w:t>
            </w:r>
          </w:p>
        </w:tc>
        <w:tc>
          <w:tcPr>
            <w:tcW w:w="80" w:type="dxa"/>
            <w:vAlign w:val="bottom"/>
            <w:shd w:val="clear" w:color="auto" w:fill="E0E7ED"/>
          </w:tcPr>
          <w:p>
            <w:pPr>
              <w:spacing w:after="0"/>
              <w:rPr>
                <w:sz w:val="18"/>
                <w:szCs w:val="18"/>
                <w:color w:val="auto"/>
              </w:rPr>
            </w:pPr>
          </w:p>
        </w:tc>
        <w:tc>
          <w:tcPr>
            <w:tcW w:w="12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166,471</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1.49 %</w:t>
            </w:r>
          </w:p>
        </w:tc>
        <w:tc>
          <w:tcPr>
            <w:tcW w:w="80" w:type="dxa"/>
            <w:vAlign w:val="bottom"/>
            <w:shd w:val="clear" w:color="auto" w:fill="E0E7ED"/>
          </w:tcPr>
          <w:p>
            <w:pPr>
              <w:spacing w:after="0"/>
              <w:rPr>
                <w:sz w:val="18"/>
                <w:szCs w:val="18"/>
                <w:color w:val="auto"/>
              </w:rPr>
            </w:pPr>
          </w:p>
        </w:tc>
        <w:tc>
          <w:tcPr>
            <w:tcW w:w="18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5,552,288</w:t>
            </w:r>
          </w:p>
        </w:tc>
        <w:tc>
          <w:tcPr>
            <w:tcW w:w="8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57,235</w:t>
            </w:r>
          </w:p>
        </w:tc>
        <w:tc>
          <w:tcPr>
            <w:tcW w:w="80" w:type="dxa"/>
            <w:vAlign w:val="bottom"/>
            <w:shd w:val="clear" w:color="auto" w:fill="E0E7ED"/>
          </w:tcPr>
          <w:p>
            <w:pPr>
              <w:spacing w:after="0"/>
              <w:rPr>
                <w:sz w:val="18"/>
                <w:szCs w:val="18"/>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1.03 %</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Retail real estate</w:t>
            </w:r>
          </w:p>
        </w:tc>
        <w:tc>
          <w:tcPr>
            <w:tcW w:w="18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2,245,705</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26,399</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1.18 %</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1,696,457</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23,711</w:t>
            </w:r>
          </w:p>
        </w:tc>
        <w:tc>
          <w:tcPr>
            <w:tcW w:w="80" w:type="dxa"/>
            <w:vAlign w:val="bottom"/>
            <w:shd w:val="clear" w:color="auto" w:fill="E0E7ED"/>
          </w:tcPr>
          <w:p>
            <w:pPr>
              <w:spacing w:after="0"/>
              <w:rPr>
                <w:sz w:val="18"/>
                <w:szCs w:val="18"/>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Retail other</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484,164</w:t>
            </w:r>
          </w:p>
        </w:tc>
        <w:tc>
          <w:tcPr>
            <w:tcW w:w="80" w:type="dxa"/>
            <w:vAlign w:val="bottom"/>
            <w:tcBorders>
              <w:bottom w:val="single" w:sz="8" w:color="E0E7E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w:t>
            </w:r>
          </w:p>
        </w:tc>
        <w:tc>
          <w:tcPr>
            <w:tcW w:w="154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0.48 %</w:t>
            </w:r>
          </w:p>
        </w:tc>
        <w:tc>
          <w:tcPr>
            <w:tcW w:w="8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448,342</w:t>
            </w:r>
          </w:p>
        </w:tc>
        <w:tc>
          <w:tcPr>
            <w:tcW w:w="8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w:t>
            </w:r>
          </w:p>
        </w:tc>
        <w:tc>
          <w:tcPr>
            <w:tcW w:w="80" w:type="dxa"/>
            <w:vAlign w:val="bottom"/>
            <w:tcBorders>
              <w:bottom w:val="single" w:sz="8" w:color="E0E7ED"/>
            </w:tcBorders>
          </w:tcPr>
          <w:p>
            <w:pPr>
              <w:spacing w:after="0"/>
              <w:rPr>
                <w:sz w:val="17"/>
                <w:szCs w:val="17"/>
                <w:color w:val="auto"/>
              </w:rPr>
            </w:pPr>
          </w:p>
        </w:tc>
        <w:tc>
          <w:tcPr>
            <w:tcW w:w="1460" w:type="dxa"/>
            <w:vAlign w:val="bottom"/>
            <w:tcBorders>
              <w:bottom w:val="single" w:sz="8" w:color="E0E7ED"/>
            </w:tcBorders>
          </w:tcPr>
          <w:p>
            <w:pPr>
              <w:jc w:val="right"/>
              <w:spacing w:after="0"/>
              <w:rPr>
                <w:sz w:val="20"/>
                <w:szCs w:val="20"/>
                <w:color w:val="auto"/>
              </w:rPr>
            </w:pPr>
            <w:r>
              <w:rPr>
                <w:rFonts w:ascii="Arial" w:cs="Arial" w:eastAsia="Arial" w:hAnsi="Arial"/>
                <w:sz w:val="14"/>
                <w:szCs w:val="14"/>
                <w:color w:val="auto"/>
              </w:rPr>
              <w:t>0.55 %</w:t>
            </w:r>
          </w:p>
        </w:tc>
        <w:tc>
          <w:tcPr>
            <w:tcW w:w="0" w:type="dxa"/>
            <w:vAlign w:val="bottom"/>
          </w:tcPr>
          <w:p>
            <w:pPr>
              <w:spacing w:after="0"/>
              <w:rPr>
                <w:sz w:val="1"/>
                <w:szCs w:val="1"/>
                <w:color w:val="auto"/>
              </w:rPr>
            </w:pPr>
          </w:p>
        </w:tc>
      </w:tr>
      <w:tr>
        <w:trPr>
          <w:trHeight w:val="203"/>
        </w:trPr>
        <w:tc>
          <w:tcPr>
            <w:tcW w:w="260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retail</w:t>
            </w:r>
          </w:p>
        </w:tc>
        <w:tc>
          <w:tcPr>
            <w:tcW w:w="180" w:type="dxa"/>
            <w:vAlign w:val="bottom"/>
            <w:tcBorders>
              <w:bottom w:val="single" w:sz="8" w:color="auto"/>
            </w:tcBorders>
            <w:shd w:val="clear" w:color="auto" w:fill="E0E7ED"/>
          </w:tcPr>
          <w:p>
            <w:pPr>
              <w:spacing w:after="0"/>
              <w:rPr>
                <w:sz w:val="17"/>
                <w:szCs w:val="17"/>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2,729,869</w:t>
            </w:r>
          </w:p>
        </w:tc>
        <w:tc>
          <w:tcPr>
            <w:tcW w:w="80" w:type="dxa"/>
            <w:vAlign w:val="bottom"/>
            <w:shd w:val="clear" w:color="auto" w:fill="E0E7ED"/>
          </w:tcPr>
          <w:p>
            <w:pPr>
              <w:spacing w:after="0"/>
              <w:rPr>
                <w:sz w:val="17"/>
                <w:szCs w:val="17"/>
                <w:color w:val="auto"/>
              </w:rPr>
            </w:pPr>
          </w:p>
        </w:tc>
        <w:tc>
          <w:tcPr>
            <w:tcW w:w="12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28,739</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1.05 %</w:t>
            </w:r>
          </w:p>
        </w:tc>
        <w:tc>
          <w:tcPr>
            <w:tcW w:w="80" w:type="dxa"/>
            <w:vAlign w:val="bottom"/>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spacing w:after="0"/>
              <w:rPr>
                <w:sz w:val="17"/>
                <w:szCs w:val="17"/>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2,144,799</w:t>
            </w:r>
          </w:p>
        </w:tc>
        <w:tc>
          <w:tcPr>
            <w:tcW w:w="80" w:type="dxa"/>
            <w:vAlign w:val="bottom"/>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spacing w:after="0"/>
              <w:rPr>
                <w:sz w:val="17"/>
                <w:szCs w:val="17"/>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26,169</w:t>
            </w:r>
          </w:p>
        </w:tc>
        <w:tc>
          <w:tcPr>
            <w:tcW w:w="80" w:type="dxa"/>
            <w:vAlign w:val="bottom"/>
            <w:shd w:val="clear" w:color="auto" w:fill="E0E7ED"/>
          </w:tcPr>
          <w:p>
            <w:pPr>
              <w:spacing w:after="0"/>
              <w:rPr>
                <w:sz w:val="17"/>
                <w:szCs w:val="17"/>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r>
        <w:trPr>
          <w:trHeight w:val="212"/>
        </w:trPr>
        <w:tc>
          <w:tcPr>
            <w:tcW w:w="260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13,868,357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195,210</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1.41 %</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7,697,087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83,404</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1.08 %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March 31, 2025, management believed the level of the ACL to be appropriate based upon the information available. However, additional losses may be identified in the loan portfolio as new information is obtained. The ongoing impacts of CECL will be dependent upon changes in economic conditions and forecasts, originated and acquired loan portfolio composition, credit performance trends, portfolio duration, and other factors.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Non-Performing Loans and Non-Performing Assets</w:t>
      </w:r>
    </w:p>
    <w:p>
      <w:pPr>
        <w:spacing w:after="0" w:line="1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Typically, loans are secured by collateral. When a loan is classified as non-accrual and determined to be collateral dependent, it is appropriately reserved or charged down through the ACL to the fair value of Busey’s interest in the underlying collateral less estimated costs to sell. Busey’s loan portfolio is collateralized primarily by real estate.</w:t>
      </w:r>
    </w:p>
    <w:p>
      <w:pPr>
        <w:spacing w:after="0" w:line="200" w:lineRule="exact"/>
        <w:rPr>
          <w:sz w:val="20"/>
          <w:szCs w:val="20"/>
          <w:color w:val="auto"/>
        </w:rPr>
      </w:pPr>
    </w:p>
    <w:p>
      <w:pPr>
        <w:spacing w:after="0" w:line="217" w:lineRule="exact"/>
        <w:rPr>
          <w:sz w:val="20"/>
          <w:szCs w:val="20"/>
          <w:color w:val="auto"/>
        </w:rPr>
      </w:pPr>
    </w:p>
    <w:p>
      <w:pPr>
        <w:ind w:left="9000"/>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83" w:name="page84"/>
    <w:bookmarkEnd w:id="83"/>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concerning non-performing loans and performing restructured loans, as of each of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As of</w:t>
            </w:r>
          </w:p>
        </w:tc>
        <w:tc>
          <w:tcPr>
            <w:tcW w:w="1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3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80" w:type="dxa"/>
            <w:vAlign w:val="bottom"/>
          </w:tcPr>
          <w:p>
            <w:pPr>
              <w:spacing w:after="0"/>
              <w:rPr>
                <w:sz w:val="9"/>
                <w:szCs w:val="9"/>
                <w:color w:val="auto"/>
              </w:rPr>
            </w:pPr>
          </w:p>
        </w:tc>
        <w:tc>
          <w:tcPr>
            <w:tcW w:w="1060" w:type="dxa"/>
            <w:vAlign w:val="bottom"/>
          </w:tcPr>
          <w:p>
            <w:pPr>
              <w:jc w:val="right"/>
              <w:ind w:right="271"/>
              <w:spacing w:after="0" w:line="107"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2"/>
          </w:tcPr>
          <w:p>
            <w:pPr>
              <w:ind w:left="120"/>
              <w:spacing w:after="0" w:line="107" w:lineRule="exact"/>
              <w:rPr>
                <w:sz w:val="20"/>
                <w:szCs w:val="20"/>
                <w:color w:val="auto"/>
              </w:rPr>
            </w:pPr>
            <w:r>
              <w:rPr>
                <w:rFonts w:ascii="Arial" w:cs="Arial" w:eastAsia="Arial" w:hAnsi="Arial"/>
                <w:sz w:val="11"/>
                <w:szCs w:val="11"/>
                <w:b w:val="1"/>
                <w:bCs w:val="1"/>
                <w:color w:val="auto"/>
              </w:rPr>
              <w:t>December 31,</w:t>
            </w:r>
          </w:p>
        </w:tc>
        <w:tc>
          <w:tcPr>
            <w:tcW w:w="280" w:type="dxa"/>
            <w:vAlign w:val="bottom"/>
          </w:tcPr>
          <w:p>
            <w:pPr>
              <w:spacing w:after="0"/>
              <w:rPr>
                <w:sz w:val="9"/>
                <w:szCs w:val="9"/>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9"/>
                <w:szCs w:val="9"/>
                <w:color w:val="auto"/>
              </w:rPr>
            </w:pPr>
          </w:p>
        </w:tc>
        <w:tc>
          <w:tcPr>
            <w:tcW w:w="1460" w:type="dxa"/>
            <w:vAlign w:val="bottom"/>
            <w:vMerge w:val="restart"/>
          </w:tcPr>
          <w:p>
            <w:pPr>
              <w:jc w:val="right"/>
              <w:ind w:right="403"/>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38"/>
        </w:trPr>
        <w:tc>
          <w:tcPr>
            <w:tcW w:w="5300" w:type="dxa"/>
            <w:vAlign w:val="bottom"/>
            <w:tcBorders>
              <w:bottom w:val="single" w:sz="8" w:color="E0E7ED"/>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2025</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E0E7ED"/>
          </w:tcPr>
          <w:p>
            <w:pPr>
              <w:ind w:left="20"/>
              <w:spacing w:after="0"/>
              <w:rPr>
                <w:sz w:val="20"/>
                <w:szCs w:val="20"/>
                <w:color w:val="auto"/>
              </w:rPr>
            </w:pPr>
            <w:r>
              <w:rPr>
                <w:rFonts w:ascii="Arial" w:cs="Arial" w:eastAsia="Arial" w:hAnsi="Arial"/>
                <w:sz w:val="14"/>
                <w:szCs w:val="14"/>
                <w:color w:val="auto"/>
              </w:rPr>
              <w:t>Portfolio loans</w:t>
            </w: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13,868,357</w:t>
            </w:r>
          </w:p>
        </w:tc>
        <w:tc>
          <w:tcPr>
            <w:tcW w:w="460" w:type="dxa"/>
            <w:vAlign w:val="bottom"/>
            <w:gridSpan w:val="3"/>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7,697,087</w:t>
            </w:r>
          </w:p>
        </w:tc>
        <w:tc>
          <w:tcPr>
            <w:tcW w:w="80" w:type="dxa"/>
            <w:vAlign w:val="bottom"/>
            <w:shd w:val="clear" w:color="auto" w:fill="E0E7ED"/>
          </w:tcPr>
          <w:p>
            <w:pPr>
              <w:spacing w:after="0"/>
              <w:rPr>
                <w:sz w:val="17"/>
                <w:szCs w:val="17"/>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6,171,270</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80.2 %</w:t>
            </w:r>
          </w:p>
        </w:tc>
        <w:tc>
          <w:tcPr>
            <w:tcW w:w="0" w:type="dxa"/>
            <w:vAlign w:val="bottom"/>
          </w:tcPr>
          <w:p>
            <w:pPr>
              <w:spacing w:after="0"/>
              <w:rPr>
                <w:sz w:val="1"/>
                <w:szCs w:val="1"/>
                <w:color w:val="auto"/>
              </w:rPr>
            </w:pPr>
          </w:p>
        </w:tc>
      </w:tr>
      <w:tr>
        <w:trPr>
          <w:trHeight w:val="202"/>
        </w:trPr>
        <w:tc>
          <w:tcPr>
            <w:tcW w:w="5300" w:type="dxa"/>
            <w:vAlign w:val="bottom"/>
          </w:tcPr>
          <w:p>
            <w:pPr>
              <w:ind w:left="20"/>
              <w:spacing w:after="0"/>
              <w:rPr>
                <w:sz w:val="20"/>
                <w:szCs w:val="20"/>
                <w:color w:val="auto"/>
              </w:rPr>
            </w:pPr>
            <w:r>
              <w:rPr>
                <w:rFonts w:ascii="Arial" w:cs="Arial" w:eastAsia="Arial" w:hAnsi="Arial"/>
                <w:sz w:val="14"/>
                <w:szCs w:val="14"/>
                <w:color w:val="auto"/>
              </w:rPr>
              <w:t>Loans 30 – 89 days past due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18,554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11"/>
              <w:spacing w:after="0"/>
              <w:rPr>
                <w:sz w:val="20"/>
                <w:szCs w:val="20"/>
                <w:color w:val="auto"/>
              </w:rPr>
            </w:pPr>
            <w:r>
              <w:rPr>
                <w:rFonts w:ascii="Arial" w:cs="Arial" w:eastAsia="Arial" w:hAnsi="Arial"/>
                <w:sz w:val="14"/>
                <w:szCs w:val="14"/>
                <w:color w:val="auto"/>
              </w:rPr>
              <w:t>8,124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10,430</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128.4 %</w:t>
            </w:r>
          </w:p>
        </w:tc>
        <w:tc>
          <w:tcPr>
            <w:tcW w:w="0" w:type="dxa"/>
            <w:vAlign w:val="bottom"/>
          </w:tcPr>
          <w:p>
            <w:pPr>
              <w:spacing w:after="0"/>
              <w:rPr>
                <w:sz w:val="1"/>
                <w:szCs w:val="1"/>
                <w:color w:val="auto"/>
              </w:rPr>
            </w:pPr>
          </w:p>
        </w:tc>
      </w:tr>
      <w:tr>
        <w:trPr>
          <w:trHeight w:val="222"/>
        </w:trPr>
        <w:tc>
          <w:tcPr>
            <w:tcW w:w="530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19,464,252</w:t>
            </w:r>
          </w:p>
        </w:tc>
        <w:tc>
          <w:tcPr>
            <w:tcW w:w="1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12,046,722</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7,417,530</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61.6 %</w:t>
            </w: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Non-performing assets</w:t>
            </w: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46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tcPr>
          <w:p>
            <w:pPr>
              <w:ind w:left="140"/>
              <w:spacing w:after="0"/>
              <w:rPr>
                <w:sz w:val="20"/>
                <w:szCs w:val="20"/>
                <w:color w:val="auto"/>
              </w:rPr>
            </w:pPr>
            <w:r>
              <w:rPr>
                <w:rFonts w:ascii="Arial" w:cs="Arial" w:eastAsia="Arial" w:hAnsi="Arial"/>
                <w:sz w:val="14"/>
                <w:szCs w:val="14"/>
                <w:color w:val="auto"/>
              </w:rPr>
              <w:t>Non-performing loans: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shd w:val="clear" w:color="auto" w:fill="E0E7ED"/>
          </w:tcPr>
          <w:p>
            <w:pPr>
              <w:ind w:left="280"/>
              <w:spacing w:after="0"/>
              <w:rPr>
                <w:sz w:val="20"/>
                <w:szCs w:val="20"/>
                <w:color w:val="auto"/>
              </w:rPr>
            </w:pPr>
            <w:r>
              <w:rPr>
                <w:rFonts w:ascii="Arial" w:cs="Arial" w:eastAsia="Arial" w:hAnsi="Arial"/>
                <w:sz w:val="14"/>
                <w:szCs w:val="14"/>
                <w:color w:val="auto"/>
              </w:rPr>
              <w:t>Non-accrual loans</w:t>
            </w: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48,647</w:t>
            </w:r>
          </w:p>
        </w:tc>
        <w:tc>
          <w:tcPr>
            <w:tcW w:w="460" w:type="dxa"/>
            <w:vAlign w:val="bottom"/>
            <w:gridSpan w:val="3"/>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22,088</w:t>
            </w: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26,559</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120.2 %</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E0E7ED"/>
            </w:tcBorders>
          </w:tcPr>
          <w:p>
            <w:pPr>
              <w:ind w:left="280"/>
              <w:spacing w:after="0"/>
              <w:rPr>
                <w:sz w:val="20"/>
                <w:szCs w:val="20"/>
                <w:color w:val="auto"/>
              </w:rPr>
            </w:pPr>
            <w:r>
              <w:rPr>
                <w:rFonts w:ascii="Arial" w:cs="Arial" w:eastAsia="Arial" w:hAnsi="Arial"/>
                <w:sz w:val="14"/>
                <w:szCs w:val="14"/>
                <w:color w:val="auto"/>
              </w:rPr>
              <w:t>Loans 90+ days past due and still accruing</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6,077</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1,149</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4,928</w:t>
            </w:r>
          </w:p>
        </w:tc>
        <w:tc>
          <w:tcPr>
            <w:tcW w:w="154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428.9 %</w:t>
            </w:r>
          </w:p>
        </w:tc>
        <w:tc>
          <w:tcPr>
            <w:tcW w:w="0" w:type="dxa"/>
            <w:vAlign w:val="bottom"/>
          </w:tcPr>
          <w:p>
            <w:pPr>
              <w:spacing w:after="0"/>
              <w:rPr>
                <w:sz w:val="1"/>
                <w:szCs w:val="1"/>
                <w:color w:val="auto"/>
              </w:rPr>
            </w:pPr>
          </w:p>
        </w:tc>
      </w:tr>
      <w:tr>
        <w:trPr>
          <w:trHeight w:val="212"/>
        </w:trPr>
        <w:tc>
          <w:tcPr>
            <w:tcW w:w="53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Total non-performing loans</w:t>
            </w: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54,724</w:t>
            </w:r>
          </w:p>
        </w:tc>
        <w:tc>
          <w:tcPr>
            <w:tcW w:w="1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23,237</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31,487</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135.5 %</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OREO and other repossessed assets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4,757</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4,694</w:t>
            </w:r>
          </w:p>
        </w:tc>
        <w:tc>
          <w:tcPr>
            <w:tcW w:w="154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7450.8 %</w:t>
            </w:r>
          </w:p>
        </w:tc>
        <w:tc>
          <w:tcPr>
            <w:tcW w:w="0" w:type="dxa"/>
            <w:vAlign w:val="bottom"/>
          </w:tcPr>
          <w:p>
            <w:pPr>
              <w:spacing w:after="0"/>
              <w:rPr>
                <w:sz w:val="1"/>
                <w:szCs w:val="1"/>
                <w:color w:val="auto"/>
              </w:rPr>
            </w:pPr>
          </w:p>
        </w:tc>
      </w:tr>
      <w:tr>
        <w:trPr>
          <w:trHeight w:val="212"/>
        </w:trPr>
        <w:tc>
          <w:tcPr>
            <w:tcW w:w="530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non-performing assets</w:t>
            </w: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59,481</w:t>
            </w:r>
          </w:p>
        </w:tc>
        <w:tc>
          <w:tcPr>
            <w:tcW w:w="1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23,300</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36,181</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155.3 %</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E0E7ED"/>
            </w:tcBorders>
          </w:tcPr>
          <w:p>
            <w:pPr>
              <w:ind w:left="20"/>
              <w:spacing w:after="0"/>
              <w:rPr>
                <w:sz w:val="20"/>
                <w:szCs w:val="20"/>
                <w:color w:val="auto"/>
              </w:rPr>
            </w:pPr>
            <w:r>
              <w:rPr>
                <w:rFonts w:ascii="Arial" w:cs="Arial" w:eastAsia="Arial" w:hAnsi="Arial"/>
                <w:sz w:val="14"/>
                <w:szCs w:val="14"/>
                <w:color w:val="auto"/>
              </w:rPr>
              <w:t>Substandard (excludes 90+ days past due)</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131,078</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62,023</w:t>
            </w:r>
          </w:p>
        </w:tc>
        <w:tc>
          <w:tcPr>
            <w:tcW w:w="8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69,055</w:t>
            </w:r>
          </w:p>
        </w:tc>
        <w:tc>
          <w:tcPr>
            <w:tcW w:w="1540" w:type="dxa"/>
            <w:vAlign w:val="bottom"/>
            <w:tcBorders>
              <w:bottom w:val="single" w:sz="8" w:color="E0E7ED"/>
            </w:tcBorders>
            <w:gridSpan w:val="2"/>
          </w:tcPr>
          <w:p>
            <w:pPr>
              <w:jc w:val="right"/>
              <w:spacing w:after="0"/>
              <w:rPr>
                <w:sz w:val="20"/>
                <w:szCs w:val="20"/>
                <w:color w:val="auto"/>
              </w:rPr>
            </w:pPr>
            <w:r>
              <w:rPr>
                <w:rFonts w:ascii="Arial" w:cs="Arial" w:eastAsia="Arial" w:hAnsi="Arial"/>
                <w:sz w:val="14"/>
                <w:szCs w:val="14"/>
                <w:color w:val="auto"/>
              </w:rPr>
              <w:t>111.3 %</w:t>
            </w:r>
          </w:p>
        </w:tc>
        <w:tc>
          <w:tcPr>
            <w:tcW w:w="0" w:type="dxa"/>
            <w:vAlign w:val="bottom"/>
          </w:tcPr>
          <w:p>
            <w:pPr>
              <w:spacing w:after="0"/>
              <w:rPr>
                <w:sz w:val="1"/>
                <w:szCs w:val="1"/>
                <w:color w:val="auto"/>
              </w:rPr>
            </w:pPr>
          </w:p>
        </w:tc>
      </w:tr>
      <w:tr>
        <w:trPr>
          <w:trHeight w:val="232"/>
        </w:trPr>
        <w:tc>
          <w:tcPr>
            <w:tcW w:w="5300" w:type="dxa"/>
            <w:vAlign w:val="bottom"/>
            <w:shd w:val="clear" w:color="auto" w:fill="E0E7ED"/>
          </w:tcPr>
          <w:p>
            <w:pPr>
              <w:ind w:left="20"/>
              <w:spacing w:after="0"/>
              <w:rPr>
                <w:sz w:val="20"/>
                <w:szCs w:val="20"/>
                <w:color w:val="auto"/>
              </w:rPr>
            </w:pPr>
            <w:r>
              <w:rPr>
                <w:rFonts w:ascii="Arial" w:cs="Arial" w:eastAsia="Arial" w:hAnsi="Arial"/>
                <w:sz w:val="14"/>
                <w:szCs w:val="14"/>
                <w:color w:val="auto"/>
              </w:rPr>
              <w:t>Classified assets</w:t>
            </w: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190,559</w:t>
            </w:r>
          </w:p>
        </w:tc>
        <w:tc>
          <w:tcPr>
            <w:tcW w:w="460" w:type="dxa"/>
            <w:vAlign w:val="bottom"/>
            <w:gridSpan w:val="3"/>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85,323</w:t>
            </w:r>
          </w:p>
        </w:tc>
        <w:tc>
          <w:tcPr>
            <w:tcW w:w="80" w:type="dxa"/>
            <w:vAlign w:val="bottom"/>
            <w:shd w:val="clear" w:color="auto" w:fill="E0E7ED"/>
          </w:tcPr>
          <w:p>
            <w:pPr>
              <w:spacing w:after="0"/>
              <w:rPr>
                <w:sz w:val="20"/>
                <w:szCs w:val="20"/>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105,236</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123.3 %</w:t>
            </w:r>
          </w:p>
        </w:tc>
        <w:tc>
          <w:tcPr>
            <w:tcW w:w="0" w:type="dxa"/>
            <w:vAlign w:val="bottom"/>
          </w:tcPr>
          <w:p>
            <w:pPr>
              <w:spacing w:after="0"/>
              <w:rPr>
                <w:sz w:val="1"/>
                <w:szCs w:val="1"/>
                <w:color w:val="auto"/>
              </w:rPr>
            </w:pPr>
          </w:p>
        </w:tc>
      </w:tr>
      <w:tr>
        <w:trPr>
          <w:trHeight w:val="20"/>
        </w:trPr>
        <w:tc>
          <w:tcPr>
            <w:tcW w:w="53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6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300" w:type="dxa"/>
            <w:vAlign w:val="bottom"/>
            <w:shd w:val="clear" w:color="auto" w:fill="E0E7ED"/>
          </w:tcPr>
          <w:p>
            <w:pPr>
              <w:ind w:left="20"/>
              <w:spacing w:after="0"/>
              <w:rPr>
                <w:sz w:val="20"/>
                <w:szCs w:val="20"/>
                <w:color w:val="auto"/>
              </w:rPr>
            </w:pPr>
            <w:r>
              <w:rPr>
                <w:rFonts w:ascii="Arial" w:cs="Arial" w:eastAsia="Arial" w:hAnsi="Arial"/>
                <w:sz w:val="14"/>
                <w:szCs w:val="14"/>
                <w:color w:val="auto"/>
              </w:rPr>
              <w:t>ACL</w:t>
            </w: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195,210</w:t>
            </w:r>
          </w:p>
        </w:tc>
        <w:tc>
          <w:tcPr>
            <w:tcW w:w="460" w:type="dxa"/>
            <w:vAlign w:val="bottom"/>
            <w:gridSpan w:val="3"/>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83,404</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111,806</w:t>
            </w:r>
          </w:p>
        </w:tc>
        <w:tc>
          <w:tcPr>
            <w:tcW w:w="154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134.1 %</w:t>
            </w:r>
          </w:p>
        </w:tc>
        <w:tc>
          <w:tcPr>
            <w:tcW w:w="0" w:type="dxa"/>
            <w:vAlign w:val="bottom"/>
          </w:tcPr>
          <w:p>
            <w:pPr>
              <w:spacing w:after="0"/>
              <w:rPr>
                <w:sz w:val="1"/>
                <w:szCs w:val="1"/>
                <w:color w:val="auto"/>
              </w:rPr>
            </w:pPr>
          </w:p>
        </w:tc>
      </w:tr>
      <w:tr>
        <w:trPr>
          <w:trHeight w:val="202"/>
        </w:trPr>
        <w:tc>
          <w:tcPr>
            <w:tcW w:w="5300" w:type="dxa"/>
            <w:vAlign w:val="bottom"/>
          </w:tcPr>
          <w:p>
            <w:pPr>
              <w:ind w:left="20"/>
              <w:spacing w:after="0"/>
              <w:rPr>
                <w:sz w:val="20"/>
                <w:szCs w:val="20"/>
                <w:color w:val="auto"/>
              </w:rPr>
            </w:pPr>
            <w:r>
              <w:rPr>
                <w:rFonts w:ascii="Arial" w:cs="Arial" w:eastAsia="Arial" w:hAnsi="Arial"/>
                <w:sz w:val="14"/>
                <w:szCs w:val="14"/>
                <w:color w:val="auto"/>
              </w:rPr>
              <w:t>Bank Tier 1 Capital</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2,073,221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11"/>
              <w:spacing w:after="0"/>
              <w:rPr>
                <w:sz w:val="20"/>
                <w:szCs w:val="20"/>
                <w:color w:val="auto"/>
              </w:rPr>
            </w:pPr>
            <w:r>
              <w:rPr>
                <w:rFonts w:ascii="Arial" w:cs="Arial" w:eastAsia="Arial" w:hAnsi="Arial"/>
                <w:sz w:val="14"/>
                <w:szCs w:val="14"/>
                <w:color w:val="auto"/>
              </w:rPr>
              <w:t>1,438,296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634,925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44.1 %</w:t>
            </w:r>
          </w:p>
        </w:tc>
        <w:tc>
          <w:tcPr>
            <w:tcW w:w="0" w:type="dxa"/>
            <w:vAlign w:val="bottom"/>
          </w:tcPr>
          <w:p>
            <w:pPr>
              <w:spacing w:after="0"/>
              <w:rPr>
                <w:sz w:val="1"/>
                <w:szCs w:val="1"/>
                <w:color w:val="auto"/>
              </w:rPr>
            </w:pPr>
          </w:p>
        </w:tc>
      </w:tr>
      <w:tr>
        <w:trPr>
          <w:trHeight w:val="222"/>
        </w:trPr>
        <w:tc>
          <w:tcPr>
            <w:tcW w:w="530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1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46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Ratios</w:t>
            </w: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18"/>
        </w:trPr>
        <w:tc>
          <w:tcPr>
            <w:tcW w:w="5740" w:type="dxa"/>
            <w:vAlign w:val="bottom"/>
            <w:shd w:val="clear" w:color="auto" w:fill="E0E7ED"/>
          </w:tcPr>
          <w:p>
            <w:pPr>
              <w:ind w:left="20"/>
              <w:spacing w:after="0"/>
              <w:rPr>
                <w:sz w:val="20"/>
                <w:szCs w:val="20"/>
                <w:color w:val="auto"/>
              </w:rPr>
            </w:pPr>
            <w:r>
              <w:rPr>
                <w:rFonts w:ascii="Arial" w:cs="Arial" w:eastAsia="Arial" w:hAnsi="Arial"/>
                <w:sz w:val="14"/>
                <w:szCs w:val="14"/>
                <w:color w:val="auto"/>
              </w:rPr>
              <w:t>ACL to portfolio loans</w:t>
            </w:r>
          </w:p>
        </w:tc>
        <w:tc>
          <w:tcPr>
            <w:tcW w:w="1580" w:type="dxa"/>
            <w:vAlign w:val="bottom"/>
            <w:shd w:val="clear" w:color="auto" w:fill="E0E7ED"/>
          </w:tcPr>
          <w:p>
            <w:pPr>
              <w:jc w:val="right"/>
              <w:ind w:right="489"/>
              <w:spacing w:after="0"/>
              <w:rPr>
                <w:sz w:val="20"/>
                <w:szCs w:val="20"/>
                <w:color w:val="auto"/>
              </w:rPr>
            </w:pPr>
            <w:r>
              <w:rPr>
                <w:rFonts w:ascii="Arial" w:cs="Arial" w:eastAsia="Arial" w:hAnsi="Arial"/>
                <w:sz w:val="14"/>
                <w:szCs w:val="14"/>
                <w:color w:val="auto"/>
              </w:rPr>
              <w:t>1.41 %</w:t>
            </w:r>
          </w:p>
        </w:tc>
        <w:tc>
          <w:tcPr>
            <w:tcW w:w="1340" w:type="dxa"/>
            <w:vAlign w:val="bottom"/>
            <w:shd w:val="clear" w:color="auto" w:fill="E0E7ED"/>
          </w:tcPr>
          <w:p>
            <w:pPr>
              <w:jc w:val="right"/>
              <w:ind w:right="289"/>
              <w:spacing w:after="0"/>
              <w:rPr>
                <w:sz w:val="20"/>
                <w:szCs w:val="20"/>
                <w:color w:val="auto"/>
              </w:rPr>
            </w:pPr>
            <w:r>
              <w:rPr>
                <w:rFonts w:ascii="Arial" w:cs="Arial" w:eastAsia="Arial" w:hAnsi="Arial"/>
                <w:sz w:val="14"/>
                <w:szCs w:val="14"/>
                <w:color w:val="auto"/>
              </w:rPr>
              <w:t>1.08 %</w:t>
            </w:r>
          </w:p>
        </w:tc>
        <w:tc>
          <w:tcPr>
            <w:tcW w:w="2620" w:type="dxa"/>
            <w:vAlign w:val="bottom"/>
            <w:shd w:val="clear" w:color="auto" w:fill="E0E7ED"/>
          </w:tcPr>
          <w:p>
            <w:pPr>
              <w:jc w:val="right"/>
              <w:ind w:right="1469"/>
              <w:spacing w:after="0"/>
              <w:rPr>
                <w:sz w:val="20"/>
                <w:szCs w:val="20"/>
                <w:color w:val="auto"/>
              </w:rPr>
            </w:pPr>
            <w:r>
              <w:rPr>
                <w:rFonts w:ascii="Arial" w:cs="Arial" w:eastAsia="Arial" w:hAnsi="Arial"/>
                <w:sz w:val="14"/>
                <w:szCs w:val="14"/>
                <w:color w:val="auto"/>
              </w:rPr>
              <w:t>33 bps</w:t>
            </w:r>
          </w:p>
        </w:tc>
      </w:tr>
      <w:tr>
        <w:trPr>
          <w:trHeight w:val="202"/>
        </w:trPr>
        <w:tc>
          <w:tcPr>
            <w:tcW w:w="5740" w:type="dxa"/>
            <w:vAlign w:val="bottom"/>
          </w:tcPr>
          <w:p>
            <w:pPr>
              <w:ind w:left="20"/>
              <w:spacing w:after="0"/>
              <w:rPr>
                <w:sz w:val="20"/>
                <w:szCs w:val="20"/>
                <w:color w:val="auto"/>
              </w:rPr>
            </w:pPr>
            <w:r>
              <w:rPr>
                <w:rFonts w:ascii="Arial" w:cs="Arial" w:eastAsia="Arial" w:hAnsi="Arial"/>
                <w:sz w:val="14"/>
                <w:szCs w:val="14"/>
                <w:color w:val="auto"/>
              </w:rPr>
              <w:t>ACL to non-accrual loans</w:t>
            </w:r>
          </w:p>
        </w:tc>
        <w:tc>
          <w:tcPr>
            <w:tcW w:w="1580" w:type="dxa"/>
            <w:vAlign w:val="bottom"/>
          </w:tcPr>
          <w:p>
            <w:pPr>
              <w:jc w:val="right"/>
              <w:ind w:right="489"/>
              <w:spacing w:after="0"/>
              <w:rPr>
                <w:sz w:val="20"/>
                <w:szCs w:val="20"/>
                <w:color w:val="auto"/>
              </w:rPr>
            </w:pPr>
            <w:r>
              <w:rPr>
                <w:rFonts w:ascii="Arial" w:cs="Arial" w:eastAsia="Arial" w:hAnsi="Arial"/>
                <w:sz w:val="14"/>
                <w:szCs w:val="14"/>
                <w:color w:val="auto"/>
              </w:rPr>
              <w:t>4.01 x</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3.78 x</w:t>
            </w:r>
          </w:p>
        </w:tc>
        <w:tc>
          <w:tcPr>
            <w:tcW w:w="2620" w:type="dxa"/>
            <w:vAlign w:val="bottom"/>
          </w:tcPr>
          <w:p>
            <w:pPr>
              <w:jc w:val="right"/>
              <w:ind w:right="1469"/>
              <w:spacing w:after="0"/>
              <w:rPr>
                <w:sz w:val="20"/>
                <w:szCs w:val="20"/>
                <w:color w:val="auto"/>
              </w:rPr>
            </w:pPr>
            <w:r>
              <w:rPr>
                <w:rFonts w:ascii="Arial" w:cs="Arial" w:eastAsia="Arial" w:hAnsi="Arial"/>
                <w:sz w:val="14"/>
                <w:szCs w:val="14"/>
                <w:color w:val="auto"/>
              </w:rPr>
              <w:t>2,300 bps</w:t>
            </w:r>
          </w:p>
        </w:tc>
      </w:tr>
      <w:tr>
        <w:trPr>
          <w:trHeight w:val="222"/>
        </w:trPr>
        <w:tc>
          <w:tcPr>
            <w:tcW w:w="5740" w:type="dxa"/>
            <w:vAlign w:val="bottom"/>
            <w:shd w:val="clear" w:color="auto" w:fill="E0E7ED"/>
          </w:tcPr>
          <w:p>
            <w:pPr>
              <w:ind w:left="20"/>
              <w:spacing w:after="0"/>
              <w:rPr>
                <w:sz w:val="20"/>
                <w:szCs w:val="20"/>
                <w:color w:val="auto"/>
              </w:rPr>
            </w:pPr>
            <w:r>
              <w:rPr>
                <w:rFonts w:ascii="Arial" w:cs="Arial" w:eastAsia="Arial" w:hAnsi="Arial"/>
                <w:sz w:val="14"/>
                <w:szCs w:val="14"/>
                <w:color w:val="auto"/>
              </w:rPr>
              <w:t>ACL to non-performing loans</w:t>
            </w:r>
          </w:p>
        </w:tc>
        <w:tc>
          <w:tcPr>
            <w:tcW w:w="1580" w:type="dxa"/>
            <w:vAlign w:val="bottom"/>
            <w:shd w:val="clear" w:color="auto" w:fill="E0E7ED"/>
          </w:tcPr>
          <w:p>
            <w:pPr>
              <w:jc w:val="right"/>
              <w:ind w:right="489"/>
              <w:spacing w:after="0"/>
              <w:rPr>
                <w:sz w:val="20"/>
                <w:szCs w:val="20"/>
                <w:color w:val="auto"/>
              </w:rPr>
            </w:pPr>
            <w:r>
              <w:rPr>
                <w:rFonts w:ascii="Arial" w:cs="Arial" w:eastAsia="Arial" w:hAnsi="Arial"/>
                <w:sz w:val="14"/>
                <w:szCs w:val="14"/>
                <w:color w:val="auto"/>
              </w:rPr>
              <w:t>3.57 x</w:t>
            </w:r>
          </w:p>
        </w:tc>
        <w:tc>
          <w:tcPr>
            <w:tcW w:w="1340" w:type="dxa"/>
            <w:vAlign w:val="bottom"/>
            <w:shd w:val="clear" w:color="auto" w:fill="E0E7ED"/>
          </w:tcPr>
          <w:p>
            <w:pPr>
              <w:jc w:val="right"/>
              <w:ind w:right="289"/>
              <w:spacing w:after="0"/>
              <w:rPr>
                <w:sz w:val="20"/>
                <w:szCs w:val="20"/>
                <w:color w:val="auto"/>
              </w:rPr>
            </w:pPr>
            <w:r>
              <w:rPr>
                <w:rFonts w:ascii="Arial" w:cs="Arial" w:eastAsia="Arial" w:hAnsi="Arial"/>
                <w:sz w:val="14"/>
                <w:szCs w:val="14"/>
                <w:color w:val="auto"/>
              </w:rPr>
              <w:t>3.59 x</w:t>
            </w:r>
          </w:p>
        </w:tc>
        <w:tc>
          <w:tcPr>
            <w:tcW w:w="2620" w:type="dxa"/>
            <w:vAlign w:val="bottom"/>
            <w:shd w:val="clear" w:color="auto" w:fill="E0E7ED"/>
          </w:tcPr>
          <w:p>
            <w:pPr>
              <w:jc w:val="right"/>
              <w:ind w:right="1469"/>
              <w:spacing w:after="0"/>
              <w:rPr>
                <w:sz w:val="20"/>
                <w:szCs w:val="20"/>
                <w:color w:val="auto"/>
              </w:rPr>
            </w:pPr>
            <w:r>
              <w:rPr>
                <w:rFonts w:ascii="Arial" w:cs="Arial" w:eastAsia="Arial" w:hAnsi="Arial"/>
                <w:sz w:val="14"/>
                <w:szCs w:val="14"/>
                <w:color w:val="auto"/>
              </w:rPr>
              <w:t>(200) bps</w:t>
            </w:r>
          </w:p>
        </w:tc>
      </w:tr>
      <w:tr>
        <w:trPr>
          <w:trHeight w:val="202"/>
        </w:trPr>
        <w:tc>
          <w:tcPr>
            <w:tcW w:w="5740" w:type="dxa"/>
            <w:vAlign w:val="bottom"/>
          </w:tcPr>
          <w:p>
            <w:pPr>
              <w:ind w:left="20"/>
              <w:spacing w:after="0"/>
              <w:rPr>
                <w:sz w:val="20"/>
                <w:szCs w:val="20"/>
                <w:color w:val="auto"/>
              </w:rPr>
            </w:pPr>
            <w:r>
              <w:rPr>
                <w:rFonts w:ascii="Arial" w:cs="Arial" w:eastAsia="Arial" w:hAnsi="Arial"/>
                <w:sz w:val="14"/>
                <w:szCs w:val="14"/>
                <w:color w:val="auto"/>
              </w:rPr>
              <w:t>ACL to non-performing assets</w:t>
            </w:r>
          </w:p>
        </w:tc>
        <w:tc>
          <w:tcPr>
            <w:tcW w:w="1580" w:type="dxa"/>
            <w:vAlign w:val="bottom"/>
          </w:tcPr>
          <w:p>
            <w:pPr>
              <w:jc w:val="right"/>
              <w:ind w:right="489"/>
              <w:spacing w:after="0"/>
              <w:rPr>
                <w:sz w:val="20"/>
                <w:szCs w:val="20"/>
                <w:color w:val="auto"/>
              </w:rPr>
            </w:pPr>
            <w:r>
              <w:rPr>
                <w:rFonts w:ascii="Arial" w:cs="Arial" w:eastAsia="Arial" w:hAnsi="Arial"/>
                <w:sz w:val="14"/>
                <w:szCs w:val="14"/>
                <w:color w:val="auto"/>
              </w:rPr>
              <w:t>3.28 x</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3.58 x</w:t>
            </w:r>
          </w:p>
        </w:tc>
        <w:tc>
          <w:tcPr>
            <w:tcW w:w="2620" w:type="dxa"/>
            <w:vAlign w:val="bottom"/>
          </w:tcPr>
          <w:p>
            <w:pPr>
              <w:jc w:val="right"/>
              <w:ind w:right="1469"/>
              <w:spacing w:after="0"/>
              <w:rPr>
                <w:sz w:val="20"/>
                <w:szCs w:val="20"/>
                <w:color w:val="auto"/>
              </w:rPr>
            </w:pPr>
            <w:r>
              <w:rPr>
                <w:rFonts w:ascii="Arial" w:cs="Arial" w:eastAsia="Arial" w:hAnsi="Arial"/>
                <w:sz w:val="14"/>
                <w:szCs w:val="14"/>
                <w:color w:val="auto"/>
              </w:rPr>
              <w:t>(3,000) bps</w:t>
            </w:r>
          </w:p>
        </w:tc>
      </w:tr>
      <w:tr>
        <w:trPr>
          <w:trHeight w:val="222"/>
        </w:trPr>
        <w:tc>
          <w:tcPr>
            <w:tcW w:w="5740" w:type="dxa"/>
            <w:vAlign w:val="bottom"/>
            <w:shd w:val="clear" w:color="auto" w:fill="E0E7ED"/>
          </w:tcPr>
          <w:p>
            <w:pPr>
              <w:ind w:left="20"/>
              <w:spacing w:after="0"/>
              <w:rPr>
                <w:sz w:val="20"/>
                <w:szCs w:val="20"/>
                <w:color w:val="auto"/>
              </w:rPr>
            </w:pPr>
            <w:r>
              <w:rPr>
                <w:rFonts w:ascii="Arial" w:cs="Arial" w:eastAsia="Arial" w:hAnsi="Arial"/>
                <w:sz w:val="14"/>
                <w:szCs w:val="14"/>
                <w:color w:val="auto"/>
              </w:rPr>
              <w:t>Non-accrual loans to portfolio loans</w:t>
            </w:r>
          </w:p>
        </w:tc>
        <w:tc>
          <w:tcPr>
            <w:tcW w:w="1580" w:type="dxa"/>
            <w:vAlign w:val="bottom"/>
            <w:shd w:val="clear" w:color="auto" w:fill="E0E7ED"/>
          </w:tcPr>
          <w:p>
            <w:pPr>
              <w:jc w:val="right"/>
              <w:ind w:right="489"/>
              <w:spacing w:after="0"/>
              <w:rPr>
                <w:sz w:val="20"/>
                <w:szCs w:val="20"/>
                <w:color w:val="auto"/>
              </w:rPr>
            </w:pPr>
            <w:r>
              <w:rPr>
                <w:rFonts w:ascii="Arial" w:cs="Arial" w:eastAsia="Arial" w:hAnsi="Arial"/>
                <w:sz w:val="14"/>
                <w:szCs w:val="14"/>
                <w:color w:val="auto"/>
              </w:rPr>
              <w:t>0.35 %</w:t>
            </w:r>
          </w:p>
        </w:tc>
        <w:tc>
          <w:tcPr>
            <w:tcW w:w="1340" w:type="dxa"/>
            <w:vAlign w:val="bottom"/>
            <w:shd w:val="clear" w:color="auto" w:fill="E0E7ED"/>
          </w:tcPr>
          <w:p>
            <w:pPr>
              <w:jc w:val="right"/>
              <w:ind w:right="289"/>
              <w:spacing w:after="0"/>
              <w:rPr>
                <w:sz w:val="20"/>
                <w:szCs w:val="20"/>
                <w:color w:val="auto"/>
              </w:rPr>
            </w:pPr>
            <w:r>
              <w:rPr>
                <w:rFonts w:ascii="Arial" w:cs="Arial" w:eastAsia="Arial" w:hAnsi="Arial"/>
                <w:sz w:val="14"/>
                <w:szCs w:val="14"/>
                <w:color w:val="auto"/>
              </w:rPr>
              <w:t>0.29 %</w:t>
            </w:r>
          </w:p>
        </w:tc>
        <w:tc>
          <w:tcPr>
            <w:tcW w:w="2620" w:type="dxa"/>
            <w:vAlign w:val="bottom"/>
            <w:shd w:val="clear" w:color="auto" w:fill="E0E7ED"/>
          </w:tcPr>
          <w:p>
            <w:pPr>
              <w:jc w:val="right"/>
              <w:ind w:right="1469"/>
              <w:spacing w:after="0"/>
              <w:rPr>
                <w:sz w:val="20"/>
                <w:szCs w:val="20"/>
                <w:color w:val="auto"/>
              </w:rPr>
            </w:pPr>
            <w:r>
              <w:rPr>
                <w:rFonts w:ascii="Arial" w:cs="Arial" w:eastAsia="Arial" w:hAnsi="Arial"/>
                <w:sz w:val="14"/>
                <w:szCs w:val="14"/>
                <w:color w:val="auto"/>
              </w:rPr>
              <w:t>6 bps</w:t>
            </w:r>
          </w:p>
        </w:tc>
      </w:tr>
      <w:tr>
        <w:trPr>
          <w:trHeight w:val="202"/>
        </w:trPr>
        <w:tc>
          <w:tcPr>
            <w:tcW w:w="5740" w:type="dxa"/>
            <w:vAlign w:val="bottom"/>
          </w:tcPr>
          <w:p>
            <w:pPr>
              <w:ind w:left="20"/>
              <w:spacing w:after="0"/>
              <w:rPr>
                <w:sz w:val="20"/>
                <w:szCs w:val="20"/>
                <w:color w:val="auto"/>
              </w:rPr>
            </w:pPr>
            <w:r>
              <w:rPr>
                <w:rFonts w:ascii="Arial" w:cs="Arial" w:eastAsia="Arial" w:hAnsi="Arial"/>
                <w:sz w:val="14"/>
                <w:szCs w:val="14"/>
                <w:color w:val="auto"/>
              </w:rPr>
              <w:t>Non-performing loans to portfolio loans</w:t>
            </w:r>
          </w:p>
        </w:tc>
        <w:tc>
          <w:tcPr>
            <w:tcW w:w="1580" w:type="dxa"/>
            <w:vAlign w:val="bottom"/>
          </w:tcPr>
          <w:p>
            <w:pPr>
              <w:jc w:val="right"/>
              <w:ind w:right="489"/>
              <w:spacing w:after="0"/>
              <w:rPr>
                <w:sz w:val="20"/>
                <w:szCs w:val="20"/>
                <w:color w:val="auto"/>
              </w:rPr>
            </w:pPr>
            <w:r>
              <w:rPr>
                <w:rFonts w:ascii="Arial" w:cs="Arial" w:eastAsia="Arial" w:hAnsi="Arial"/>
                <w:sz w:val="14"/>
                <w:szCs w:val="14"/>
                <w:color w:val="auto"/>
              </w:rPr>
              <w:t>0.39 %</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0.30 %</w:t>
            </w:r>
          </w:p>
        </w:tc>
        <w:tc>
          <w:tcPr>
            <w:tcW w:w="2620" w:type="dxa"/>
            <w:vAlign w:val="bottom"/>
          </w:tcPr>
          <w:p>
            <w:pPr>
              <w:jc w:val="right"/>
              <w:ind w:right="1469"/>
              <w:spacing w:after="0"/>
              <w:rPr>
                <w:sz w:val="20"/>
                <w:szCs w:val="20"/>
                <w:color w:val="auto"/>
              </w:rPr>
            </w:pPr>
            <w:r>
              <w:rPr>
                <w:rFonts w:ascii="Arial" w:cs="Arial" w:eastAsia="Arial" w:hAnsi="Arial"/>
                <w:sz w:val="14"/>
                <w:szCs w:val="14"/>
                <w:color w:val="auto"/>
              </w:rPr>
              <w:t>9 bps</w:t>
            </w:r>
          </w:p>
        </w:tc>
      </w:tr>
      <w:tr>
        <w:trPr>
          <w:trHeight w:val="222"/>
        </w:trPr>
        <w:tc>
          <w:tcPr>
            <w:tcW w:w="5740" w:type="dxa"/>
            <w:vAlign w:val="bottom"/>
            <w:shd w:val="clear" w:color="auto" w:fill="E0E7ED"/>
          </w:tcPr>
          <w:p>
            <w:pPr>
              <w:ind w:left="20"/>
              <w:spacing w:after="0"/>
              <w:rPr>
                <w:sz w:val="20"/>
                <w:szCs w:val="20"/>
                <w:color w:val="auto"/>
              </w:rPr>
            </w:pPr>
            <w:r>
              <w:rPr>
                <w:rFonts w:ascii="Arial" w:cs="Arial" w:eastAsia="Arial" w:hAnsi="Arial"/>
                <w:sz w:val="14"/>
                <w:szCs w:val="14"/>
                <w:color w:val="auto"/>
              </w:rPr>
              <w:t>Non-performing assets to total assets</w:t>
            </w:r>
          </w:p>
        </w:tc>
        <w:tc>
          <w:tcPr>
            <w:tcW w:w="1580" w:type="dxa"/>
            <w:vAlign w:val="bottom"/>
            <w:shd w:val="clear" w:color="auto" w:fill="E0E7ED"/>
          </w:tcPr>
          <w:p>
            <w:pPr>
              <w:jc w:val="right"/>
              <w:ind w:right="489"/>
              <w:spacing w:after="0"/>
              <w:rPr>
                <w:sz w:val="20"/>
                <w:szCs w:val="20"/>
                <w:color w:val="auto"/>
              </w:rPr>
            </w:pPr>
            <w:r>
              <w:rPr>
                <w:rFonts w:ascii="Arial" w:cs="Arial" w:eastAsia="Arial" w:hAnsi="Arial"/>
                <w:sz w:val="14"/>
                <w:szCs w:val="14"/>
                <w:color w:val="auto"/>
              </w:rPr>
              <w:t>0.31 %</w:t>
            </w:r>
          </w:p>
        </w:tc>
        <w:tc>
          <w:tcPr>
            <w:tcW w:w="1340" w:type="dxa"/>
            <w:vAlign w:val="bottom"/>
            <w:shd w:val="clear" w:color="auto" w:fill="E0E7ED"/>
          </w:tcPr>
          <w:p>
            <w:pPr>
              <w:jc w:val="right"/>
              <w:ind w:right="289"/>
              <w:spacing w:after="0"/>
              <w:rPr>
                <w:sz w:val="20"/>
                <w:szCs w:val="20"/>
                <w:color w:val="auto"/>
              </w:rPr>
            </w:pPr>
            <w:r>
              <w:rPr>
                <w:rFonts w:ascii="Arial" w:cs="Arial" w:eastAsia="Arial" w:hAnsi="Arial"/>
                <w:sz w:val="14"/>
                <w:szCs w:val="14"/>
                <w:color w:val="auto"/>
              </w:rPr>
              <w:t>0.19 %</w:t>
            </w:r>
          </w:p>
        </w:tc>
        <w:tc>
          <w:tcPr>
            <w:tcW w:w="2620" w:type="dxa"/>
            <w:vAlign w:val="bottom"/>
            <w:shd w:val="clear" w:color="auto" w:fill="E0E7ED"/>
          </w:tcPr>
          <w:p>
            <w:pPr>
              <w:jc w:val="right"/>
              <w:ind w:right="1469"/>
              <w:spacing w:after="0"/>
              <w:rPr>
                <w:sz w:val="20"/>
                <w:szCs w:val="20"/>
                <w:color w:val="auto"/>
              </w:rPr>
            </w:pPr>
            <w:r>
              <w:rPr>
                <w:rFonts w:ascii="Arial" w:cs="Arial" w:eastAsia="Arial" w:hAnsi="Arial"/>
                <w:sz w:val="14"/>
                <w:szCs w:val="14"/>
                <w:color w:val="auto"/>
              </w:rPr>
              <w:t>12 bps</w:t>
            </w:r>
          </w:p>
        </w:tc>
      </w:tr>
      <w:tr>
        <w:trPr>
          <w:trHeight w:val="202"/>
        </w:trPr>
        <w:tc>
          <w:tcPr>
            <w:tcW w:w="5740" w:type="dxa"/>
            <w:vAlign w:val="bottom"/>
          </w:tcPr>
          <w:p>
            <w:pPr>
              <w:ind w:left="20"/>
              <w:spacing w:after="0"/>
              <w:rPr>
                <w:sz w:val="20"/>
                <w:szCs w:val="20"/>
                <w:color w:val="auto"/>
              </w:rPr>
            </w:pPr>
            <w:r>
              <w:rPr>
                <w:rFonts w:ascii="Arial" w:cs="Arial" w:eastAsia="Arial" w:hAnsi="Arial"/>
                <w:sz w:val="14"/>
                <w:szCs w:val="14"/>
                <w:color w:val="auto"/>
              </w:rPr>
              <w:t>Non-performing assets to portfolio loans and OREO and other repossessed assets</w:t>
            </w:r>
          </w:p>
        </w:tc>
        <w:tc>
          <w:tcPr>
            <w:tcW w:w="1580" w:type="dxa"/>
            <w:vAlign w:val="bottom"/>
          </w:tcPr>
          <w:p>
            <w:pPr>
              <w:jc w:val="right"/>
              <w:ind w:right="489"/>
              <w:spacing w:after="0"/>
              <w:rPr>
                <w:sz w:val="20"/>
                <w:szCs w:val="20"/>
                <w:color w:val="auto"/>
              </w:rPr>
            </w:pPr>
            <w:r>
              <w:rPr>
                <w:rFonts w:ascii="Arial" w:cs="Arial" w:eastAsia="Arial" w:hAnsi="Arial"/>
                <w:sz w:val="14"/>
                <w:szCs w:val="14"/>
                <w:color w:val="auto"/>
              </w:rPr>
              <w:t>0.43 %</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0.30 %</w:t>
            </w:r>
          </w:p>
        </w:tc>
        <w:tc>
          <w:tcPr>
            <w:tcW w:w="2620" w:type="dxa"/>
            <w:vAlign w:val="bottom"/>
          </w:tcPr>
          <w:p>
            <w:pPr>
              <w:jc w:val="right"/>
              <w:ind w:right="1469"/>
              <w:spacing w:after="0"/>
              <w:rPr>
                <w:sz w:val="20"/>
                <w:szCs w:val="20"/>
                <w:color w:val="auto"/>
              </w:rPr>
            </w:pPr>
            <w:r>
              <w:rPr>
                <w:rFonts w:ascii="Arial" w:cs="Arial" w:eastAsia="Arial" w:hAnsi="Arial"/>
                <w:sz w:val="14"/>
                <w:szCs w:val="14"/>
                <w:color w:val="auto"/>
              </w:rPr>
              <w:t>13 bps</w:t>
            </w:r>
          </w:p>
        </w:tc>
      </w:tr>
      <w:tr>
        <w:trPr>
          <w:trHeight w:val="222"/>
        </w:trPr>
        <w:tc>
          <w:tcPr>
            <w:tcW w:w="5740" w:type="dxa"/>
            <w:vAlign w:val="bottom"/>
            <w:shd w:val="clear" w:color="auto" w:fill="E0E7ED"/>
          </w:tcPr>
          <w:p>
            <w:pPr>
              <w:ind w:left="20"/>
              <w:spacing w:after="0"/>
              <w:rPr>
                <w:sz w:val="20"/>
                <w:szCs w:val="20"/>
                <w:color w:val="auto"/>
              </w:rPr>
            </w:pPr>
            <w:r>
              <w:rPr>
                <w:rFonts w:ascii="Arial" w:cs="Arial" w:eastAsia="Arial" w:hAnsi="Arial"/>
                <w:sz w:val="14"/>
                <w:szCs w:val="14"/>
                <w:color w:val="auto"/>
              </w:rPr>
              <w:t>Classified assets to Bank Tier 1 Capital and ACL</w:t>
            </w:r>
          </w:p>
        </w:tc>
        <w:tc>
          <w:tcPr>
            <w:tcW w:w="1580" w:type="dxa"/>
            <w:vAlign w:val="bottom"/>
            <w:shd w:val="clear" w:color="auto" w:fill="E0E7ED"/>
          </w:tcPr>
          <w:p>
            <w:pPr>
              <w:jc w:val="right"/>
              <w:ind w:right="489"/>
              <w:spacing w:after="0"/>
              <w:rPr>
                <w:sz w:val="20"/>
                <w:szCs w:val="20"/>
                <w:color w:val="auto"/>
              </w:rPr>
            </w:pPr>
            <w:r>
              <w:rPr>
                <w:rFonts w:ascii="Arial" w:cs="Arial" w:eastAsia="Arial" w:hAnsi="Arial"/>
                <w:sz w:val="14"/>
                <w:szCs w:val="14"/>
                <w:color w:val="auto"/>
              </w:rPr>
              <w:t>8.40 %</w:t>
            </w:r>
          </w:p>
        </w:tc>
        <w:tc>
          <w:tcPr>
            <w:tcW w:w="1340" w:type="dxa"/>
            <w:vAlign w:val="bottom"/>
            <w:shd w:val="clear" w:color="auto" w:fill="E0E7ED"/>
          </w:tcPr>
          <w:p>
            <w:pPr>
              <w:jc w:val="right"/>
              <w:ind w:right="289"/>
              <w:spacing w:after="0"/>
              <w:rPr>
                <w:sz w:val="20"/>
                <w:szCs w:val="20"/>
                <w:color w:val="auto"/>
              </w:rPr>
            </w:pPr>
            <w:r>
              <w:rPr>
                <w:rFonts w:ascii="Arial" w:cs="Arial" w:eastAsia="Arial" w:hAnsi="Arial"/>
                <w:sz w:val="14"/>
                <w:szCs w:val="14"/>
                <w:color w:val="auto"/>
              </w:rPr>
              <w:t>5.61 %</w:t>
            </w:r>
          </w:p>
        </w:tc>
        <w:tc>
          <w:tcPr>
            <w:tcW w:w="2620" w:type="dxa"/>
            <w:vAlign w:val="bottom"/>
            <w:shd w:val="clear" w:color="auto" w:fill="E0E7ED"/>
          </w:tcPr>
          <w:p>
            <w:pPr>
              <w:jc w:val="right"/>
              <w:ind w:right="1469"/>
              <w:spacing w:after="0"/>
              <w:rPr>
                <w:sz w:val="20"/>
                <w:szCs w:val="20"/>
                <w:color w:val="auto"/>
              </w:rPr>
            </w:pPr>
            <w:r>
              <w:rPr>
                <w:rFonts w:ascii="Arial" w:cs="Arial" w:eastAsia="Arial" w:hAnsi="Arial"/>
                <w:sz w:val="14"/>
                <w:szCs w:val="14"/>
                <w:color w:val="auto"/>
              </w:rPr>
              <w:t>279 bps</w:t>
            </w:r>
          </w:p>
        </w:tc>
      </w:tr>
    </w:tbl>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Largely in connection with the CrossFirst acquisition, Busey’s total assets grew by 61.6% to $ 19.46 billion as of March 31, 2025, compared to $12.05 billion as of December 31, 2024. Busey’s loan portfolio grew by 80.2% to $13.87 billion as of March 31, 2025, compared to $7.70 billion as of December 31, 2024.</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Asset quality remains strong by both Busey’s historical and current industry trends, and Busey’s operating mandate and focus remain on emphasizing credit quality over asset growth.</w:t>
      </w:r>
    </w:p>
    <w:p>
      <w:pPr>
        <w:spacing w:after="0" w:line="31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Non-performing loan balances increased to $54.7 million as of March 31, 2025, compared to $23.2 million as of December 31, 2024. Busey Bank’s non-performing loans were $6.8 million, a decrease of $16.4 million compared to December 31, 2024. CrossFirst Bank’s non-performing loans were $47.9 million as of March 31, 2025. Non-performing loans represented 0.39% of portfolio loans as of March 31, 2025, compared to 0.30% as of December 31, 2024. Busey’s allowance for credit losses provided coverage of 3.57 times non-performing loans at March 31, 2025, compared to 3.59 times at December 31, 2024.</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84" w:name="page85"/>
    <w:bookmarkEnd w:id="84"/>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Non-performing assets, which includes non-performing loans, OREO, and other repossessed assets, increased to $59.5 million as of March 31, 2025, compared to $23.3 million as of December 31, 2024. Busey Bank’s non-performing assets were $7.1 million, a decrease of $16.2 million compared to December 31, 2024. CrossFirst Bank’s non-performing assets were $52.4 million as of March 31, 2025. Non-performing assets represented 0.31% of total assets as of March 31, 2025, compared to 0.19% as of December 31, 2024. Busey’s allowance for credit losses provided coverage of 3.28 times non-performing assets at March 31, 2025, compared to 3.58 times at December 31, 2024.</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Classified assets, which includes non-performing assets and substandard loans, increased to $190.6 million as of March 31, 2025, compared to $85.3 million as of December 31, 2024. Busey Bank’s classified assets were $81.3 million, a decrease of $4.0 million compared to December 31, 2024. CrossFirst Bank’s classified assets were $109.3 million as of March 31, 2025. Classified assets represented 8.40% of the Bank’s Tier 1 capital and ACL at March 31, 2025, compared to 5.61% at December 31, 2024.</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charge-offs totaled $31.4 million for the three months ended March 31, 2025, compared to $ 5.2 million for the comparable period in 2024. Net charge-offs include $29.6 million related to PCD loans acquired from CrossFirst Bank, which were fully reserved at acquisition and did not require recording additional provision expense.</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Asset quality metrics remain dependent upon market-specific economic conditions, and specific measures may fluctuate from period to period. If economic conditions were to deteriorate, Busey would expect the credit quality of its loan portfolio to decline and loan defaults to increase.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Potential Problem Loans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Potential problem loans are loans classified as substandard which are not individually evaluated,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increased to $131.1 million as of March 31, 2025, compared to $62.0 million as of December 31, 2024. Management continues to monitor these loans and work with the borrowers on restructurings, guarantees, additional collateral, or other planned actions. As of March 31, 2025, management identified no other loans that represent or result from trends or uncertainties that would be expected to materially impact future operating results, liquidity, or capital resources.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Deposits</w:t>
      </w:r>
    </w:p>
    <w:p>
      <w:pPr>
        <w:spacing w:after="0" w:line="145"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Total deposits increased by 64.9% to $16.46 billion as of March 31, 2025, compared to $9.98 billion as of December 31, 2024, in connection with the CrossFirst acquisition. Busey focuses on deepening its customer relationships to maintain and protect its strong core deposit</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franchise. Core deposits include non-brokered transaction accounts, money market and savings deposit accounts, and time deposits of $250,000 or less. Core deposits represented 90.3% of total deposits as of March 31, 2025, compared to 96.5% as of December 31, 2024.</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Deposits are federally insured up to the FDIC insurance limit of $250,000. When a portion of a deposit account exceeds the FDIC insurance limit, that portion is uninsured. Estimated uninsured deposits were $6.50 billion, or 39.5% of total deposits, as of March 31, 2025, compared to $3.78 billion, or 37.9% of total deposits, as of December 31, 2024. Excluding intercompany accounts, fully collateralized accounts (including preferred deposits), and pass-through accounts where clients have deposit insurance at the correspondent financial institution, the portion of Busey’s deposit base that was uninsured and not otherwise collateralized was $5.26 billion, or 32.0% of total deposits, as of March 31, 2025, compared to $2.96 billion, or 29.6% of total deposits,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177863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277" w:lineRule="exact"/>
        <w:rPr>
          <w:sz w:val="20"/>
          <w:szCs w:val="20"/>
          <w:color w:val="auto"/>
        </w:rPr>
      </w:pPr>
    </w:p>
    <w:p>
      <w:pPr>
        <w:ind w:left="140" w:hanging="135"/>
        <w:spacing w:after="0" w:line="213" w:lineRule="auto"/>
        <w:tabs>
          <w:tab w:leader="none" w:pos="103" w:val="left"/>
        </w:tabs>
        <w:numPr>
          <w:ilvl w:val="0"/>
          <w:numId w:val="30"/>
        </w:numPr>
        <w:rPr>
          <w:rFonts w:ascii="Arial" w:cs="Arial" w:eastAsia="Arial" w:hAnsi="Arial"/>
          <w:sz w:val="18"/>
          <w:szCs w:val="18"/>
          <w:color w:val="auto"/>
          <w:vertAlign w:val="superscript"/>
        </w:rPr>
      </w:pPr>
      <w:r>
        <w:rPr>
          <w:rFonts w:ascii="Arial" w:cs="Arial" w:eastAsia="Arial" w:hAnsi="Arial"/>
          <w:sz w:val="11"/>
          <w:szCs w:val="11"/>
          <w:color w:val="auto"/>
        </w:rPr>
        <w:t xml:space="preserve">Core deposits is a non-GAAP financial measure. For a reconciliation of non-GAAP measures to the most directly comparable GAAP financial measures, see </w:t>
      </w:r>
      <w:r>
        <w:rPr>
          <w:rFonts w:ascii="Arial" w:cs="Arial" w:eastAsia="Arial" w:hAnsi="Arial"/>
          <w:sz w:val="11"/>
          <w:szCs w:val="11"/>
          <w:i w:val="1"/>
          <w:iCs w:val="1"/>
          <w:u w:val="single" w:color="auto"/>
          <w:color w:val="0000FF"/>
        </w:rPr>
        <w:t>“Item 2. Management’s Discussion and Analysis—Non-GAAP</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0000FF"/>
        </w:rPr>
        <w:t>Financial Information”</w:t>
      </w:r>
      <w:r>
        <w:rPr>
          <w:rFonts w:ascii="Arial" w:cs="Arial" w:eastAsia="Arial" w:hAnsi="Arial"/>
          <w:sz w:val="11"/>
          <w:szCs w:val="11"/>
          <w:i w:val="1"/>
          <w:iCs w:val="1"/>
          <w:color w:val="0000FF"/>
        </w:rPr>
        <w:t xml:space="preserve"> </w:t>
      </w:r>
      <w:r>
        <w:rPr>
          <w:rFonts w:ascii="Arial" w:cs="Arial" w:eastAsia="Arial" w:hAnsi="Arial"/>
          <w:sz w:val="11"/>
          <w:szCs w:val="11"/>
          <w:color w:val="000000"/>
        </w:rPr>
        <w:t>included in this Quarterly Report.</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85" w:name="page86"/>
    <w:bookmarkEnd w:id="85"/>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Liquidity management is the process by which Busey ensures that adequate liquid funds are available to meet the present and future cash flow obligations arising in the daily operations of its business. These financial obligations consist of needs for funds to meet commitments to borrowers for extensions of credit, fund capital expenditures, honor withdrawals by customers, pay dividends to stockholders, and pay operating expenses. Busey’s most liquid assets are cash and due from banks, interest-bearing bank deposits, and federal funds sold. Balances of these assets are dependent on Busey’s operating, investing, lending, and financing activities during any given period.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Average liquid assets are summarized in the table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824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2024</w:t>
            </w:r>
          </w:p>
        </w:tc>
      </w:tr>
      <w:tr>
        <w:trPr>
          <w:trHeight w:val="192"/>
        </w:trPr>
        <w:tc>
          <w:tcPr>
            <w:tcW w:w="82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Average liquid assets</w:t>
            </w:r>
          </w:p>
        </w:tc>
        <w:tc>
          <w:tcPr>
            <w:tcW w:w="36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r>
      <w:tr>
        <w:trPr>
          <w:trHeight w:val="202"/>
        </w:trPr>
        <w:tc>
          <w:tcPr>
            <w:tcW w:w="8240" w:type="dxa"/>
            <w:vAlign w:val="bottom"/>
          </w:tcPr>
          <w:p>
            <w:pPr>
              <w:ind w:left="140"/>
              <w:spacing w:after="0"/>
              <w:rPr>
                <w:sz w:val="20"/>
                <w:szCs w:val="20"/>
                <w:color w:val="auto"/>
              </w:rPr>
            </w:pPr>
            <w:r>
              <w:rPr>
                <w:rFonts w:ascii="Arial" w:cs="Arial" w:eastAsia="Arial" w:hAnsi="Arial"/>
                <w:sz w:val="14"/>
                <w:szCs w:val="14"/>
                <w:color w:val="auto"/>
              </w:rPr>
              <w:t>Cash and due from banks</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4"/>
              <w:spacing w:after="0"/>
              <w:rPr>
                <w:sz w:val="20"/>
                <w:szCs w:val="20"/>
                <w:color w:val="auto"/>
              </w:rPr>
            </w:pPr>
            <w:r>
              <w:rPr>
                <w:rFonts w:ascii="Arial" w:cs="Arial" w:eastAsia="Arial" w:hAnsi="Arial"/>
                <w:sz w:val="14"/>
                <w:szCs w:val="14"/>
                <w:color w:val="auto"/>
              </w:rPr>
              <w:t>172,788</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105,583</w:t>
            </w:r>
          </w:p>
        </w:tc>
      </w:tr>
      <w:tr>
        <w:trPr>
          <w:trHeight w:val="222"/>
        </w:trPr>
        <w:tc>
          <w:tcPr>
            <w:tcW w:w="8240" w:type="dxa"/>
            <w:vAlign w:val="bottom"/>
            <w:shd w:val="clear" w:color="auto" w:fill="E0E7ED"/>
          </w:tcPr>
          <w:p>
            <w:pPr>
              <w:ind w:left="140"/>
              <w:spacing w:after="0"/>
              <w:rPr>
                <w:sz w:val="20"/>
                <w:szCs w:val="20"/>
                <w:color w:val="auto"/>
              </w:rPr>
            </w:pPr>
            <w:r>
              <w:rPr>
                <w:rFonts w:ascii="Arial" w:cs="Arial" w:eastAsia="Arial" w:hAnsi="Arial"/>
                <w:sz w:val="14"/>
                <w:szCs w:val="14"/>
                <w:color w:val="auto"/>
              </w:rPr>
              <w:t>Interest-bearing bank deposits</w:t>
            </w:r>
          </w:p>
        </w:tc>
        <w:tc>
          <w:tcPr>
            <w:tcW w:w="360" w:type="dxa"/>
            <w:vAlign w:val="bottom"/>
            <w:shd w:val="clear" w:color="auto" w:fill="E0E7ED"/>
          </w:tcPr>
          <w:p>
            <w:pPr>
              <w:spacing w:after="0"/>
              <w:rPr>
                <w:sz w:val="19"/>
                <w:szCs w:val="19"/>
                <w:color w:val="auto"/>
              </w:rPr>
            </w:pPr>
          </w:p>
        </w:tc>
        <w:tc>
          <w:tcPr>
            <w:tcW w:w="1120" w:type="dxa"/>
            <w:vAlign w:val="bottom"/>
            <w:shd w:val="clear" w:color="auto" w:fill="E0E7ED"/>
          </w:tcPr>
          <w:p>
            <w:pPr>
              <w:jc w:val="right"/>
              <w:ind w:right="134"/>
              <w:spacing w:after="0"/>
              <w:rPr>
                <w:sz w:val="20"/>
                <w:szCs w:val="20"/>
                <w:color w:val="auto"/>
              </w:rPr>
            </w:pPr>
            <w:r>
              <w:rPr>
                <w:rFonts w:ascii="Arial" w:cs="Arial" w:eastAsia="Arial" w:hAnsi="Arial"/>
                <w:sz w:val="14"/>
                <w:szCs w:val="14"/>
                <w:color w:val="auto"/>
              </w:rPr>
              <w:t>688,233</w:t>
            </w: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120" w:type="dxa"/>
            <w:vAlign w:val="bottom"/>
            <w:shd w:val="clear" w:color="auto" w:fill="E0E7ED"/>
          </w:tcPr>
          <w:p>
            <w:pPr>
              <w:jc w:val="right"/>
              <w:ind w:right="112"/>
              <w:spacing w:after="0"/>
              <w:rPr>
                <w:sz w:val="20"/>
                <w:szCs w:val="20"/>
                <w:color w:val="auto"/>
              </w:rPr>
            </w:pPr>
            <w:r>
              <w:rPr>
                <w:rFonts w:ascii="Arial" w:cs="Arial" w:eastAsia="Arial" w:hAnsi="Arial"/>
                <w:sz w:val="14"/>
                <w:szCs w:val="14"/>
                <w:color w:val="auto"/>
              </w:rPr>
              <w:t>488,610</w:t>
            </w:r>
          </w:p>
        </w:tc>
      </w:tr>
      <w:tr>
        <w:trPr>
          <w:trHeight w:val="203"/>
        </w:trPr>
        <w:tc>
          <w:tcPr>
            <w:tcW w:w="824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Less: Restricted and pledged cash and bank deposits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(70,777)</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(34,210)</w:t>
            </w:r>
          </w:p>
        </w:tc>
      </w:tr>
      <w:tr>
        <w:trPr>
          <w:trHeight w:val="237"/>
        </w:trPr>
        <w:tc>
          <w:tcPr>
            <w:tcW w:w="82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average liquid assets</w:t>
            </w:r>
          </w:p>
        </w:tc>
        <w:tc>
          <w:tcPr>
            <w:tcW w:w="360" w:type="dxa"/>
            <w:vAlign w:val="bottom"/>
            <w:tcBorders>
              <w:bottom w:val="single" w:sz="8" w:color="auto"/>
            </w:tcBorders>
            <w:shd w:val="clear" w:color="auto" w:fill="E0E7ED"/>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0E7ED"/>
          </w:tcPr>
          <w:p>
            <w:pPr>
              <w:jc w:val="right"/>
              <w:ind w:right="134"/>
              <w:spacing w:after="0"/>
              <w:rPr>
                <w:sz w:val="20"/>
                <w:szCs w:val="20"/>
                <w:color w:val="auto"/>
              </w:rPr>
            </w:pPr>
            <w:r>
              <w:rPr>
                <w:rFonts w:ascii="Arial" w:cs="Arial" w:eastAsia="Arial" w:hAnsi="Arial"/>
                <w:sz w:val="14"/>
                <w:szCs w:val="14"/>
                <w:color w:val="auto"/>
              </w:rPr>
              <w:t>790,244</w:t>
            </w:r>
          </w:p>
        </w:tc>
        <w:tc>
          <w:tcPr>
            <w:tcW w:w="80" w:type="dxa"/>
            <w:vAlign w:val="bottom"/>
            <w:tcBorders>
              <w:bottom w:val="single" w:sz="8" w:color="E0E7ED"/>
            </w:tcBorders>
            <w:shd w:val="clear" w:color="auto" w:fill="E0E7ED"/>
          </w:tcPr>
          <w:p>
            <w:pPr>
              <w:spacing w:after="0"/>
              <w:rPr>
                <w:sz w:val="20"/>
                <w:szCs w:val="20"/>
                <w:color w:val="auto"/>
              </w:rPr>
            </w:pPr>
          </w:p>
        </w:tc>
        <w:tc>
          <w:tcPr>
            <w:tcW w:w="360" w:type="dxa"/>
            <w:vAlign w:val="bottom"/>
            <w:tcBorders>
              <w:bottom w:val="single" w:sz="8" w:color="auto"/>
            </w:tcBorders>
            <w:shd w:val="clear" w:color="auto" w:fill="E0E7ED"/>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0E7ED"/>
          </w:tcPr>
          <w:p>
            <w:pPr>
              <w:jc w:val="right"/>
              <w:ind w:right="112"/>
              <w:spacing w:after="0"/>
              <w:rPr>
                <w:sz w:val="20"/>
                <w:szCs w:val="20"/>
                <w:color w:val="auto"/>
              </w:rPr>
            </w:pPr>
            <w:r>
              <w:rPr>
                <w:rFonts w:ascii="Arial" w:cs="Arial" w:eastAsia="Arial" w:hAnsi="Arial"/>
                <w:sz w:val="14"/>
                <w:szCs w:val="14"/>
                <w:color w:val="auto"/>
              </w:rPr>
              <w:t>559,983</w:t>
            </w:r>
          </w:p>
        </w:tc>
      </w:tr>
      <w:tr>
        <w:trPr>
          <w:trHeight w:val="20"/>
        </w:trPr>
        <w:tc>
          <w:tcPr>
            <w:tcW w:w="824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60" w:type="dxa"/>
            <w:vAlign w:val="bottom"/>
            <w:gridSpan w:val="3"/>
            <w:shd w:val="clear" w:color="auto" w:fill="E0E7ED"/>
          </w:tcPr>
          <w:p>
            <w:pPr>
              <w:ind w:left="20"/>
              <w:spacing w:after="0"/>
              <w:rPr>
                <w:sz w:val="20"/>
                <w:szCs w:val="20"/>
                <w:color w:val="auto"/>
              </w:rPr>
            </w:pPr>
            <w:r>
              <w:rPr>
                <w:rFonts w:ascii="Arial" w:cs="Arial" w:eastAsia="Arial" w:hAnsi="Arial"/>
                <w:sz w:val="14"/>
                <w:szCs w:val="14"/>
                <w:color w:val="auto"/>
              </w:rPr>
              <w:t>Average liquid assets as a percent of average total assets</w:t>
            </w:r>
          </w:p>
        </w:tc>
        <w:tc>
          <w:tcPr>
            <w:tcW w:w="260" w:type="dxa"/>
            <w:vAlign w:val="bottom"/>
            <w:shd w:val="clear" w:color="auto" w:fill="E0E7ED"/>
          </w:tcPr>
          <w:p>
            <w:pPr>
              <w:spacing w:after="0"/>
              <w:rPr>
                <w:sz w:val="18"/>
                <w:szCs w:val="18"/>
                <w:color w:val="auto"/>
              </w:rPr>
            </w:pPr>
          </w:p>
        </w:tc>
        <w:tc>
          <w:tcPr>
            <w:tcW w:w="1100" w:type="dxa"/>
            <w:vAlign w:val="bottom"/>
            <w:shd w:val="clear" w:color="auto" w:fill="E0E7ED"/>
          </w:tcPr>
          <w:p>
            <w:pPr>
              <w:jc w:val="right"/>
              <w:ind w:right="54"/>
              <w:spacing w:after="0"/>
              <w:rPr>
                <w:sz w:val="20"/>
                <w:szCs w:val="20"/>
                <w:color w:val="auto"/>
              </w:rPr>
            </w:pPr>
            <w:r>
              <w:rPr>
                <w:rFonts w:ascii="Arial" w:cs="Arial" w:eastAsia="Arial" w:hAnsi="Arial"/>
                <w:sz w:val="14"/>
                <w:szCs w:val="14"/>
                <w:color w:val="auto"/>
              </w:rPr>
              <w:t>5.3 %</w:t>
            </w: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350"/>
        </w:trPr>
        <w:tc>
          <w:tcPr>
            <w:tcW w:w="8460" w:type="dxa"/>
            <w:vAlign w:val="bottom"/>
            <w:gridSpan w:val="3"/>
          </w:tcPr>
          <w:p>
            <w:pPr>
              <w:spacing w:after="0"/>
              <w:rPr>
                <w:sz w:val="20"/>
                <w:szCs w:val="20"/>
                <w:color w:val="auto"/>
              </w:rPr>
            </w:pPr>
            <w:r>
              <w:rPr>
                <w:rFonts w:ascii="Arial" w:cs="Arial" w:eastAsia="Arial" w:hAnsi="Arial"/>
                <w:sz w:val="14"/>
                <w:szCs w:val="14"/>
                <w:color w:val="auto"/>
              </w:rPr>
              <w:t xml:space="preserve">Unencumbered cash and securities on Busey’s </w:t>
            </w:r>
            <w:r>
              <w:rPr>
                <w:rFonts w:ascii="Arial" w:cs="Arial" w:eastAsia="Arial" w:hAnsi="Arial"/>
                <w:sz w:val="14"/>
                <w:szCs w:val="14"/>
                <w:color w:val="0000FF"/>
              </w:rPr>
              <w:t>Consolidated Balance Sheets (Unaudited)</w:t>
            </w:r>
            <w:r>
              <w:rPr>
                <w:rFonts w:ascii="Arial" w:cs="Arial" w:eastAsia="Arial" w:hAnsi="Arial"/>
                <w:sz w:val="14"/>
                <w:szCs w:val="14"/>
                <w:color w:val="auto"/>
              </w:rPr>
              <w:t xml:space="preserve"> are summarized as follows: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980" w:type="dxa"/>
            <w:vAlign w:val="bottom"/>
          </w:tcPr>
          <w:p>
            <w:pPr>
              <w:spacing w:after="0"/>
              <w:rPr>
                <w:sz w:val="24"/>
                <w:szCs w:val="24"/>
                <w:color w:val="auto"/>
              </w:rPr>
            </w:pPr>
          </w:p>
        </w:tc>
        <w:tc>
          <w:tcPr>
            <w:tcW w:w="2640" w:type="dxa"/>
            <w:vAlign w:val="bottom"/>
            <w:tcBorders>
              <w:top w:val="single" w:sz="8" w:color="0000FF"/>
            </w:tcBorders>
          </w:tcPr>
          <w:p>
            <w:pPr>
              <w:spacing w:after="0"/>
              <w:rPr>
                <w:sz w:val="24"/>
                <w:szCs w:val="24"/>
                <w:color w:val="auto"/>
              </w:rPr>
            </w:pPr>
          </w:p>
        </w:tc>
        <w:tc>
          <w:tcPr>
            <w:tcW w:w="2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460" w:type="dxa"/>
            <w:vAlign w:val="bottom"/>
            <w:gridSpan w:val="3"/>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20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right"/>
              <w:ind w:right="253"/>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8460" w:type="dxa"/>
            <w:vAlign w:val="bottom"/>
            <w:gridSpan w:val="3"/>
            <w:shd w:val="clear" w:color="auto" w:fill="E0E7ED"/>
          </w:tcPr>
          <w:p>
            <w:pPr>
              <w:ind w:left="20"/>
              <w:spacing w:after="0"/>
              <w:rPr>
                <w:sz w:val="20"/>
                <w:szCs w:val="20"/>
                <w:color w:val="auto"/>
              </w:rPr>
            </w:pPr>
            <w:r>
              <w:rPr>
                <w:rFonts w:ascii="Arial" w:cs="Arial" w:eastAsia="Arial" w:hAnsi="Arial"/>
                <w:sz w:val="14"/>
                <w:szCs w:val="14"/>
                <w:b w:val="1"/>
                <w:bCs w:val="1"/>
                <w:color w:val="auto"/>
              </w:rPr>
              <w:t>Unencumbered cash and securities</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60" w:type="dxa"/>
            <w:vAlign w:val="bottom"/>
            <w:gridSpan w:val="3"/>
          </w:tcPr>
          <w:p>
            <w:pPr>
              <w:ind w:left="140"/>
              <w:spacing w:after="0"/>
              <w:rPr>
                <w:sz w:val="20"/>
                <w:szCs w:val="20"/>
                <w:color w:val="auto"/>
              </w:rPr>
            </w:pPr>
            <w:r>
              <w:rPr>
                <w:rFonts w:ascii="Arial" w:cs="Arial" w:eastAsia="Arial" w:hAnsi="Arial"/>
                <w:sz w:val="14"/>
                <w:szCs w:val="14"/>
                <w:color w:val="auto"/>
              </w:rPr>
              <w:t>Total cash and cash equivalents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1,200,292</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697,659</w:t>
            </w:r>
          </w:p>
        </w:tc>
        <w:tc>
          <w:tcPr>
            <w:tcW w:w="0" w:type="dxa"/>
            <w:vAlign w:val="bottom"/>
          </w:tcPr>
          <w:p>
            <w:pPr>
              <w:spacing w:after="0"/>
              <w:rPr>
                <w:sz w:val="1"/>
                <w:szCs w:val="1"/>
                <w:color w:val="auto"/>
              </w:rPr>
            </w:pPr>
          </w:p>
        </w:tc>
      </w:tr>
      <w:tr>
        <w:trPr>
          <w:trHeight w:val="222"/>
        </w:trPr>
        <w:tc>
          <w:tcPr>
            <w:tcW w:w="8460" w:type="dxa"/>
            <w:vAlign w:val="bottom"/>
            <w:gridSpan w:val="3"/>
            <w:shd w:val="clear" w:color="auto" w:fill="E0E7ED"/>
          </w:tcPr>
          <w:p>
            <w:pPr>
              <w:ind w:left="140"/>
              <w:spacing w:after="0"/>
              <w:rPr>
                <w:sz w:val="20"/>
                <w:szCs w:val="20"/>
                <w:color w:val="auto"/>
              </w:rPr>
            </w:pPr>
            <w:r>
              <w:rPr>
                <w:rFonts w:ascii="Arial" w:cs="Arial" w:eastAsia="Arial" w:hAnsi="Arial"/>
                <w:sz w:val="14"/>
                <w:szCs w:val="14"/>
                <w:color w:val="auto"/>
              </w:rPr>
              <w:t>Restricted and pledged cash and bank deposits</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(78,610)</w:t>
            </w: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(65,830)</w:t>
            </w:r>
          </w:p>
        </w:tc>
        <w:tc>
          <w:tcPr>
            <w:tcW w:w="0" w:type="dxa"/>
            <w:vAlign w:val="bottom"/>
          </w:tcPr>
          <w:p>
            <w:pPr>
              <w:spacing w:after="0"/>
              <w:rPr>
                <w:sz w:val="1"/>
                <w:szCs w:val="1"/>
                <w:color w:val="auto"/>
              </w:rPr>
            </w:pPr>
          </w:p>
        </w:tc>
      </w:tr>
      <w:tr>
        <w:trPr>
          <w:trHeight w:val="202"/>
        </w:trPr>
        <w:tc>
          <w:tcPr>
            <w:tcW w:w="8460" w:type="dxa"/>
            <w:vAlign w:val="bottom"/>
            <w:gridSpan w:val="3"/>
          </w:tcPr>
          <w:p>
            <w:pPr>
              <w:ind w:left="140"/>
              <w:spacing w:after="0"/>
              <w:rPr>
                <w:sz w:val="20"/>
                <w:szCs w:val="20"/>
                <w:color w:val="auto"/>
              </w:rPr>
            </w:pPr>
            <w:r>
              <w:rPr>
                <w:rFonts w:ascii="Arial" w:cs="Arial" w:eastAsia="Arial" w:hAnsi="Arial"/>
                <w:sz w:val="14"/>
                <w:szCs w:val="14"/>
                <w:color w:val="auto"/>
              </w:rPr>
              <w:t>Debt securities available for sale</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2,273,874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1,810,221</w:t>
            </w:r>
          </w:p>
        </w:tc>
        <w:tc>
          <w:tcPr>
            <w:tcW w:w="0" w:type="dxa"/>
            <w:vAlign w:val="bottom"/>
          </w:tcPr>
          <w:p>
            <w:pPr>
              <w:spacing w:after="0"/>
              <w:rPr>
                <w:sz w:val="1"/>
                <w:szCs w:val="1"/>
                <w:color w:val="auto"/>
              </w:rPr>
            </w:pPr>
          </w:p>
        </w:tc>
      </w:tr>
      <w:tr>
        <w:trPr>
          <w:trHeight w:val="213"/>
        </w:trPr>
        <w:tc>
          <w:tcPr>
            <w:tcW w:w="8460" w:type="dxa"/>
            <w:vAlign w:val="bottom"/>
            <w:gridSpan w:val="3"/>
            <w:shd w:val="clear" w:color="auto" w:fill="E0E7ED"/>
          </w:tcPr>
          <w:p>
            <w:pPr>
              <w:ind w:left="140"/>
              <w:spacing w:after="0"/>
              <w:rPr>
                <w:sz w:val="20"/>
                <w:szCs w:val="20"/>
                <w:color w:val="auto"/>
              </w:rPr>
            </w:pPr>
            <w:r>
              <w:rPr>
                <w:rFonts w:ascii="Arial" w:cs="Arial" w:eastAsia="Arial" w:hAnsi="Arial"/>
                <w:sz w:val="14"/>
                <w:szCs w:val="14"/>
                <w:color w:val="auto"/>
              </w:rPr>
              <w:t>Debt securities available for sale pledged as collateral</w:t>
            </w: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(539,243)</w:t>
            </w:r>
          </w:p>
        </w:tc>
        <w:tc>
          <w:tcPr>
            <w:tcW w:w="10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(653,454)</w:t>
            </w:r>
          </w:p>
        </w:tc>
        <w:tc>
          <w:tcPr>
            <w:tcW w:w="0" w:type="dxa"/>
            <w:vAlign w:val="bottom"/>
          </w:tcPr>
          <w:p>
            <w:pPr>
              <w:spacing w:after="0"/>
              <w:rPr>
                <w:sz w:val="1"/>
                <w:szCs w:val="1"/>
                <w:color w:val="auto"/>
              </w:rPr>
            </w:pPr>
          </w:p>
        </w:tc>
      </w:tr>
      <w:tr>
        <w:trPr>
          <w:trHeight w:val="212"/>
        </w:trPr>
        <w:tc>
          <w:tcPr>
            <w:tcW w:w="8460" w:type="dxa"/>
            <w:vAlign w:val="bottom"/>
            <w:gridSpan w:val="3"/>
          </w:tcPr>
          <w:p>
            <w:pPr>
              <w:ind w:left="20"/>
              <w:spacing w:after="0"/>
              <w:rPr>
                <w:sz w:val="20"/>
                <w:szCs w:val="20"/>
                <w:color w:val="auto"/>
              </w:rPr>
            </w:pPr>
            <w:r>
              <w:rPr>
                <w:rFonts w:ascii="Arial" w:cs="Arial" w:eastAsia="Arial" w:hAnsi="Arial"/>
                <w:sz w:val="14"/>
                <w:szCs w:val="14"/>
                <w:color w:val="auto"/>
              </w:rPr>
              <w:t>Cash and unencumbered securities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2,856,313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1,788,596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Busey’s primary sources of funds consist of deposits, investment maturities and sales, loan principal repayments, and capital funds. Additional liquidity is provided by the ability to borrow from the FHLB, the Federal Reserve Bank, and Busey’s revolving credit facility, as summarized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4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9"/>
                <w:szCs w:val="9"/>
                <w:color w:val="auto"/>
              </w:rPr>
            </w:pPr>
          </w:p>
        </w:tc>
        <w:tc>
          <w:tcPr>
            <w:tcW w:w="120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right"/>
              <w:ind w:right="253"/>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E0E7ED"/>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8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Additional available borrowing capacity</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FHLB</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2,069,437</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1,679,463</w:t>
            </w:r>
          </w:p>
        </w:tc>
        <w:tc>
          <w:tcPr>
            <w:tcW w:w="0" w:type="dxa"/>
            <w:vAlign w:val="bottom"/>
          </w:tcPr>
          <w:p>
            <w:pPr>
              <w:spacing w:after="0"/>
              <w:rPr>
                <w:sz w:val="1"/>
                <w:szCs w:val="1"/>
                <w:color w:val="auto"/>
              </w:rPr>
            </w:pPr>
          </w:p>
        </w:tc>
      </w:tr>
      <w:tr>
        <w:trPr>
          <w:trHeight w:val="222"/>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Federal Reserve Bank</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1,500,502</w:t>
            </w: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664,083</w:t>
            </w:r>
          </w:p>
        </w:tc>
        <w:tc>
          <w:tcPr>
            <w:tcW w:w="0" w:type="dxa"/>
            <w:vAlign w:val="bottom"/>
          </w:tcPr>
          <w:p>
            <w:pPr>
              <w:spacing w:after="0"/>
              <w:rPr>
                <w:sz w:val="1"/>
                <w:szCs w:val="1"/>
                <w:color w:val="auto"/>
              </w:rPr>
            </w:pPr>
          </w:p>
        </w:tc>
      </w:tr>
      <w:tr>
        <w:trPr>
          <w:trHeight w:val="202"/>
        </w:trPr>
        <w:tc>
          <w:tcPr>
            <w:tcW w:w="8460" w:type="dxa"/>
            <w:vAlign w:val="bottom"/>
          </w:tcPr>
          <w:p>
            <w:pPr>
              <w:ind w:left="140"/>
              <w:spacing w:after="0"/>
              <w:rPr>
                <w:sz w:val="20"/>
                <w:szCs w:val="20"/>
                <w:color w:val="auto"/>
              </w:rPr>
            </w:pPr>
            <w:r>
              <w:rPr>
                <w:rFonts w:ascii="Arial" w:cs="Arial" w:eastAsia="Arial" w:hAnsi="Arial"/>
                <w:sz w:val="14"/>
                <w:szCs w:val="14"/>
                <w:color w:val="auto"/>
              </w:rPr>
              <w:t>Federal funds purchased</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577,500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477,500</w:t>
            </w:r>
          </w:p>
        </w:tc>
        <w:tc>
          <w:tcPr>
            <w:tcW w:w="0" w:type="dxa"/>
            <w:vAlign w:val="bottom"/>
          </w:tcPr>
          <w:p>
            <w:pPr>
              <w:spacing w:after="0"/>
              <w:rPr>
                <w:sz w:val="1"/>
                <w:szCs w:val="1"/>
                <w:color w:val="auto"/>
              </w:rPr>
            </w:pPr>
          </w:p>
        </w:tc>
      </w:tr>
      <w:tr>
        <w:trPr>
          <w:trHeight w:val="213"/>
        </w:trPr>
        <w:tc>
          <w:tcPr>
            <w:tcW w:w="846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Revolving credit facility</w:t>
            </w:r>
          </w:p>
        </w:tc>
        <w:tc>
          <w:tcPr>
            <w:tcW w:w="26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212"/>
        </w:trPr>
        <w:tc>
          <w:tcPr>
            <w:tcW w:w="8460" w:type="dxa"/>
            <w:vAlign w:val="bottom"/>
          </w:tcPr>
          <w:p>
            <w:pPr>
              <w:ind w:left="20"/>
              <w:spacing w:after="0"/>
              <w:rPr>
                <w:sz w:val="20"/>
                <w:szCs w:val="20"/>
                <w:color w:val="auto"/>
              </w:rPr>
            </w:pPr>
            <w:r>
              <w:rPr>
                <w:rFonts w:ascii="Arial" w:cs="Arial" w:eastAsia="Arial" w:hAnsi="Arial"/>
                <w:sz w:val="14"/>
                <w:szCs w:val="14"/>
                <w:color w:val="auto"/>
              </w:rPr>
              <w:t>Additional borrowing capacity</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4,187,439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2,861,046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Further, Busey could utilize brokered deposits as additional sources of liquidity, as needed.</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86" w:name="page87"/>
    <w:bookmarkEnd w:id="86"/>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March 31, 2025, management believed that adequate liquidity existed to meet all projected cash flow obligations. Busey seeks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Busey’s outstanding commitments and reserves for unfunded commitments: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9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tcPr>
          <w:p>
            <w:pPr>
              <w:ind w:left="160"/>
              <w:spacing w:after="0" w:line="107"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9"/>
                <w:szCs w:val="9"/>
                <w:color w:val="auto"/>
              </w:rPr>
            </w:pPr>
          </w:p>
        </w:tc>
        <w:tc>
          <w:tcPr>
            <w:tcW w:w="1160" w:type="dxa"/>
            <w:vAlign w:val="bottom"/>
          </w:tcPr>
          <w:p>
            <w:pPr>
              <w:jc w:val="right"/>
              <w:ind w:right="256"/>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6900" w:type="dxa"/>
            <w:vAlign w:val="bottom"/>
            <w:tcBorders>
              <w:bottom w:val="single" w:sz="8" w:color="E0E7ED"/>
            </w:tcBorders>
            <w:vMerge w:val="continue"/>
          </w:tcPr>
          <w:p>
            <w:pPr>
              <w:spacing w:after="0"/>
              <w:rPr>
                <w:sz w:val="11"/>
                <w:szCs w:val="11"/>
                <w:color w:val="auto"/>
              </w:rPr>
            </w:pPr>
          </w:p>
        </w:tc>
        <w:tc>
          <w:tcPr>
            <w:tcW w:w="1480" w:type="dxa"/>
            <w:vAlign w:val="bottom"/>
            <w:tcBorders>
              <w:bottom w:val="single" w:sz="8" w:color="E0E7ED"/>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203"/>
        </w:trPr>
        <w:tc>
          <w:tcPr>
            <w:tcW w:w="6900" w:type="dxa"/>
            <w:vAlign w:val="bottom"/>
            <w:shd w:val="clear" w:color="auto" w:fill="E0E7ED"/>
          </w:tcPr>
          <w:p>
            <w:pPr>
              <w:ind w:left="20"/>
              <w:spacing w:after="0"/>
              <w:rPr>
                <w:sz w:val="20"/>
                <w:szCs w:val="20"/>
                <w:color w:val="auto"/>
              </w:rPr>
            </w:pPr>
            <w:r>
              <w:rPr>
                <w:rFonts w:ascii="Arial" w:cs="Arial" w:eastAsia="Arial" w:hAnsi="Arial"/>
                <w:sz w:val="14"/>
                <w:szCs w:val="14"/>
                <w:color w:val="auto"/>
              </w:rPr>
              <w:t>Outstanding loan commitments and standby letters of credit</w:t>
            </w:r>
          </w:p>
        </w:tc>
        <w:tc>
          <w:tcPr>
            <w:tcW w:w="14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4,476,594</w:t>
            </w: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2,548,178</w:t>
            </w:r>
          </w:p>
        </w:tc>
        <w:tc>
          <w:tcPr>
            <w:tcW w:w="0" w:type="dxa"/>
            <w:vAlign w:val="bottom"/>
          </w:tcPr>
          <w:p>
            <w:pPr>
              <w:spacing w:after="0"/>
              <w:rPr>
                <w:sz w:val="1"/>
                <w:szCs w:val="1"/>
                <w:color w:val="auto"/>
              </w:rPr>
            </w:pPr>
          </w:p>
        </w:tc>
      </w:tr>
      <w:tr>
        <w:trPr>
          <w:trHeight w:val="193"/>
        </w:trPr>
        <w:tc>
          <w:tcPr>
            <w:tcW w:w="6900" w:type="dxa"/>
            <w:vAlign w:val="bottom"/>
          </w:tcPr>
          <w:p>
            <w:pPr>
              <w:ind w:left="20"/>
              <w:spacing w:after="0"/>
              <w:rPr>
                <w:sz w:val="20"/>
                <w:szCs w:val="20"/>
                <w:color w:val="auto"/>
              </w:rPr>
            </w:pPr>
            <w:r>
              <w:rPr>
                <w:rFonts w:ascii="Arial" w:cs="Arial" w:eastAsia="Arial" w:hAnsi="Arial"/>
                <w:sz w:val="14"/>
                <w:szCs w:val="14"/>
                <w:color w:val="auto"/>
              </w:rPr>
              <w:t>Reserve for unfunded commitments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5,967</w:t>
            </w:r>
          </w:p>
        </w:tc>
        <w:tc>
          <w:tcPr>
            <w:tcW w:w="0" w:type="dxa"/>
            <w:vAlign w:val="bottom"/>
          </w:tcPr>
          <w:p>
            <w:pPr>
              <w:spacing w:after="0"/>
              <w:rPr>
                <w:sz w:val="1"/>
                <w:szCs w:val="1"/>
                <w:color w:val="auto"/>
              </w:rPr>
            </w:pPr>
          </w:p>
        </w:tc>
      </w:tr>
      <w:tr>
        <w:trPr>
          <w:trHeight w:val="403"/>
        </w:trPr>
        <w:tc>
          <w:tcPr>
            <w:tcW w:w="6900" w:type="dxa"/>
            <w:vAlign w:val="bottom"/>
          </w:tcPr>
          <w:p>
            <w:pPr>
              <w:spacing w:after="0"/>
              <w:rPr>
                <w:sz w:val="20"/>
                <w:szCs w:val="20"/>
                <w:color w:val="auto"/>
              </w:rPr>
            </w:pPr>
            <w:r>
              <w:rPr>
                <w:rFonts w:ascii="Arial" w:cs="Arial" w:eastAsia="Arial" w:hAnsi="Arial"/>
                <w:sz w:val="14"/>
                <w:szCs w:val="14"/>
                <w:color w:val="auto"/>
              </w:rPr>
              <w:t>The following table summarizes Busey’s provision for unfunded commitments expenses (releases):</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1"/>
                <w:szCs w:val="11"/>
                <w:b w:val="1"/>
                <w:bCs w:val="1"/>
                <w:color w:val="auto"/>
              </w:rPr>
              <w:t>Three Months Ended March 31,</w:t>
            </w:r>
          </w:p>
        </w:tc>
        <w:tc>
          <w:tcPr>
            <w:tcW w:w="0" w:type="dxa"/>
            <w:vAlign w:val="bottom"/>
          </w:tcPr>
          <w:p>
            <w:pPr>
              <w:spacing w:after="0"/>
              <w:rPr>
                <w:sz w:val="1"/>
                <w:szCs w:val="1"/>
                <w:color w:val="auto"/>
              </w:rPr>
            </w:pPr>
          </w:p>
        </w:tc>
      </w:tr>
      <w:tr>
        <w:trPr>
          <w:trHeight w:val="139"/>
        </w:trPr>
        <w:tc>
          <w:tcPr>
            <w:tcW w:w="690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Location</w:t>
            </w:r>
          </w:p>
        </w:tc>
        <w:tc>
          <w:tcPr>
            <w:tcW w:w="8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E0E7ED"/>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7"/>
        </w:trPr>
        <w:tc>
          <w:tcPr>
            <w:tcW w:w="6900" w:type="dxa"/>
            <w:vAlign w:val="bottom"/>
            <w:shd w:val="clear" w:color="auto" w:fill="E0E7ED"/>
          </w:tcPr>
          <w:p>
            <w:pPr>
              <w:ind w:left="20"/>
              <w:spacing w:after="0" w:line="167" w:lineRule="exact"/>
              <w:rPr>
                <w:sz w:val="20"/>
                <w:szCs w:val="20"/>
                <w:color w:val="auto"/>
              </w:rPr>
            </w:pPr>
            <w:r>
              <w:rPr>
                <w:rFonts w:ascii="Arial" w:cs="Arial" w:eastAsia="Arial" w:hAnsi="Arial"/>
                <w:sz w:val="14"/>
                <w:szCs w:val="14"/>
                <w:color w:val="auto"/>
              </w:rPr>
              <w:t>Provision for unfunded commitments expense (release)</w:t>
            </w:r>
            <w:r>
              <w:rPr>
                <w:rFonts w:ascii="Arial" w:cs="Arial" w:eastAsia="Arial" w:hAnsi="Arial"/>
                <w:sz w:val="18"/>
                <w:szCs w:val="18"/>
                <w:color w:val="auto"/>
                <w:vertAlign w:val="superscript"/>
              </w:rPr>
              <w:t>1</w:t>
            </w:r>
          </w:p>
        </w:tc>
        <w:tc>
          <w:tcPr>
            <w:tcW w:w="1560" w:type="dxa"/>
            <w:vAlign w:val="bottom"/>
            <w:gridSpan w:val="2"/>
            <w:shd w:val="clear" w:color="auto" w:fill="E0E7ED"/>
          </w:tcPr>
          <w:p>
            <w:pPr>
              <w:spacing w:after="0"/>
              <w:rPr>
                <w:sz w:val="20"/>
                <w:szCs w:val="20"/>
                <w:color w:val="auto"/>
              </w:rPr>
            </w:pPr>
            <w:r>
              <w:rPr>
                <w:rFonts w:ascii="Arial" w:cs="Arial" w:eastAsia="Arial" w:hAnsi="Arial"/>
                <w:sz w:val="14"/>
                <w:szCs w:val="14"/>
                <w:color w:val="auto"/>
              </w:rPr>
              <w:t>Other noninterest</w:t>
            </w:r>
          </w:p>
        </w:tc>
        <w:tc>
          <w:tcPr>
            <w:tcW w:w="26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1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900" w:type="dxa"/>
            <w:vAlign w:val="bottom"/>
            <w:shd w:val="clear" w:color="auto" w:fill="E0E7ED"/>
          </w:tcPr>
          <w:p>
            <w:pPr>
              <w:spacing w:after="0"/>
              <w:rPr>
                <w:sz w:val="17"/>
                <w:szCs w:val="17"/>
                <w:color w:val="auto"/>
              </w:rPr>
            </w:pPr>
          </w:p>
        </w:tc>
        <w:tc>
          <w:tcPr>
            <w:tcW w:w="1560" w:type="dxa"/>
            <w:vAlign w:val="bottom"/>
            <w:gridSpan w:val="2"/>
            <w:shd w:val="clear" w:color="auto" w:fill="E0E7ED"/>
          </w:tcPr>
          <w:p>
            <w:pPr>
              <w:spacing w:after="0"/>
              <w:rPr>
                <w:sz w:val="20"/>
                <w:szCs w:val="20"/>
                <w:color w:val="auto"/>
              </w:rPr>
            </w:pPr>
            <w:r>
              <w:rPr>
                <w:rFonts w:ascii="Arial" w:cs="Arial" w:eastAsia="Arial" w:hAnsi="Arial"/>
                <w:sz w:val="14"/>
                <w:szCs w:val="14"/>
                <w:color w:val="auto"/>
              </w:rPr>
              <w:t>expense</w:t>
            </w:r>
          </w:p>
        </w:tc>
        <w:tc>
          <w:tcPr>
            <w:tcW w:w="260" w:type="dxa"/>
            <w:vAlign w:val="bottom"/>
            <w:shd w:val="clear" w:color="auto" w:fill="E0E7ED"/>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3,141</w:t>
            </w: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31"/>
        </w:numPr>
        <w:rPr>
          <w:rFonts w:ascii="Arial" w:cs="Arial" w:eastAsia="Arial" w:hAnsi="Arial"/>
          <w:sz w:val="11"/>
          <w:szCs w:val="11"/>
          <w:color w:val="auto"/>
        </w:rPr>
      </w:pPr>
      <w:r>
        <w:rPr>
          <w:rFonts w:ascii="Arial" w:cs="Arial" w:eastAsia="Arial" w:hAnsi="Arial"/>
          <w:sz w:val="11"/>
          <w:szCs w:val="11"/>
          <w:color w:val="auto"/>
        </w:rPr>
        <w:t>During the three months ended March 31, 2025, an initial reserve for unfunded commitments of $3.1 million was established in connection with the CrossFirst acquisition.</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 anticipates that it will have sufficient funds available to meet current loan commitments, including loan applications received and in process prior to the issuance of firm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Resources</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Busey’s capital ratios are in excess of those required to be considered “well-capitalized” pursuant to applicable regulatory guidelines. The Federal Reserve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its subsidiary banks as of March 31, 2025:</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22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Minimum Capital</w:t>
            </w: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As of March 31, 2025</w:t>
            </w:r>
          </w:p>
        </w:tc>
        <w:tc>
          <w:tcPr>
            <w:tcW w:w="1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52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First</w:t>
            </w:r>
          </w:p>
        </w:tc>
        <w:tc>
          <w:tcPr>
            <w:tcW w:w="152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Busey</w:t>
            </w:r>
          </w:p>
        </w:tc>
        <w:tc>
          <w:tcPr>
            <w:tcW w:w="1460" w:type="dxa"/>
            <w:vAlign w:val="bottom"/>
            <w:vMerge w:val="restart"/>
          </w:tcPr>
          <w:p>
            <w:pPr>
              <w:jc w:val="right"/>
              <w:ind w:right="374"/>
              <w:spacing w:after="0"/>
              <w:rPr>
                <w:sz w:val="20"/>
                <w:szCs w:val="20"/>
                <w:color w:val="auto"/>
              </w:rPr>
            </w:pPr>
            <w:r>
              <w:rPr>
                <w:rFonts w:ascii="Arial" w:cs="Arial" w:eastAsia="Arial" w:hAnsi="Arial"/>
                <w:sz w:val="11"/>
                <w:szCs w:val="11"/>
                <w:b w:val="1"/>
                <w:bCs w:val="1"/>
                <w:color w:val="auto"/>
              </w:rPr>
              <w:t>CrossFirst</w:t>
            </w:r>
          </w:p>
        </w:tc>
        <w:tc>
          <w:tcPr>
            <w:tcW w:w="0" w:type="dxa"/>
            <w:vAlign w:val="bottom"/>
          </w:tcPr>
          <w:p>
            <w:pPr>
              <w:spacing w:after="0" w:line="20" w:lineRule="exact"/>
              <w:rPr>
                <w:sz w:val="1"/>
                <w:szCs w:val="1"/>
                <w:color w:val="auto"/>
              </w:rPr>
            </w:pPr>
          </w:p>
        </w:tc>
      </w:tr>
      <w:tr>
        <w:trPr>
          <w:trHeight w:val="106"/>
        </w:trPr>
        <w:tc>
          <w:tcPr>
            <w:tcW w:w="5220" w:type="dxa"/>
            <w:vAlign w:val="bottom"/>
          </w:tcPr>
          <w:p>
            <w:pPr>
              <w:spacing w:after="0"/>
              <w:rPr>
                <w:sz w:val="9"/>
                <w:szCs w:val="9"/>
                <w:color w:val="auto"/>
              </w:rPr>
            </w:pPr>
          </w:p>
        </w:tc>
        <w:tc>
          <w:tcPr>
            <w:tcW w:w="156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rPr>
              <w:t>Requirements with</w:t>
            </w: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5220" w:type="dxa"/>
            <w:vAlign w:val="bottom"/>
          </w:tcPr>
          <w:p>
            <w:pPr>
              <w:spacing w:after="0"/>
              <w:rPr>
                <w:sz w:val="11"/>
                <w:szCs w:val="1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Capital Buffer</w:t>
            </w: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Busey</w:t>
            </w:r>
          </w:p>
        </w:tc>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Bank</w:t>
            </w:r>
          </w:p>
        </w:tc>
        <w:tc>
          <w:tcPr>
            <w:tcW w:w="1460" w:type="dxa"/>
            <w:vAlign w:val="bottom"/>
          </w:tcPr>
          <w:p>
            <w:pPr>
              <w:jc w:val="right"/>
              <w:ind w:right="514"/>
              <w:spacing w:after="0"/>
              <w:rPr>
                <w:sz w:val="20"/>
                <w:szCs w:val="20"/>
                <w:color w:val="auto"/>
              </w:rPr>
            </w:pPr>
            <w:r>
              <w:rPr>
                <w:rFonts w:ascii="Arial" w:cs="Arial" w:eastAsia="Arial" w:hAnsi="Arial"/>
                <w:sz w:val="11"/>
                <w:szCs w:val="11"/>
                <w:b w:val="1"/>
                <w:bCs w:val="1"/>
                <w:color w:val="auto"/>
              </w:rPr>
              <w:t>Bank</w:t>
            </w:r>
          </w:p>
        </w:tc>
        <w:tc>
          <w:tcPr>
            <w:tcW w:w="0" w:type="dxa"/>
            <w:vAlign w:val="bottom"/>
          </w:tcPr>
          <w:p>
            <w:pPr>
              <w:spacing w:after="0"/>
              <w:rPr>
                <w:sz w:val="1"/>
                <w:szCs w:val="1"/>
                <w:color w:val="auto"/>
              </w:rPr>
            </w:pPr>
          </w:p>
        </w:tc>
      </w:tr>
      <w:tr>
        <w:trPr>
          <w:trHeight w:val="203"/>
        </w:trPr>
        <w:tc>
          <w:tcPr>
            <w:tcW w:w="52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Common Equity Tier 1 Capital to Risk Weighted Assets</w:t>
            </w:r>
          </w:p>
        </w:tc>
        <w:tc>
          <w:tcPr>
            <w:tcW w:w="14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7.00 %</w:t>
            </w:r>
          </w:p>
        </w:tc>
        <w:tc>
          <w:tcPr>
            <w:tcW w:w="100" w:type="dxa"/>
            <w:vAlign w:val="bottom"/>
            <w:tcBorders>
              <w:top w:val="single" w:sz="8" w:color="E0E7ED"/>
            </w:tcBorders>
            <w:shd w:val="clear" w:color="auto" w:fill="E0E7ED"/>
          </w:tcPr>
          <w:p>
            <w:pPr>
              <w:spacing w:after="0"/>
              <w:rPr>
                <w:sz w:val="17"/>
                <w:szCs w:val="17"/>
                <w:color w:val="auto"/>
              </w:rPr>
            </w:pPr>
          </w:p>
        </w:tc>
        <w:tc>
          <w:tcPr>
            <w:tcW w:w="14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12.00 %</w:t>
            </w:r>
          </w:p>
        </w:tc>
        <w:tc>
          <w:tcPr>
            <w:tcW w:w="80" w:type="dxa"/>
            <w:vAlign w:val="bottom"/>
            <w:tcBorders>
              <w:top w:val="single" w:sz="8" w:color="E0E7ED"/>
            </w:tcBorders>
            <w:shd w:val="clear" w:color="auto" w:fill="E0E7ED"/>
          </w:tcPr>
          <w:p>
            <w:pPr>
              <w:spacing w:after="0"/>
              <w:rPr>
                <w:sz w:val="17"/>
                <w:szCs w:val="17"/>
                <w:color w:val="auto"/>
              </w:rPr>
            </w:pPr>
          </w:p>
        </w:tc>
        <w:tc>
          <w:tcPr>
            <w:tcW w:w="14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16.21 %</w:t>
            </w:r>
          </w:p>
        </w:tc>
        <w:tc>
          <w:tcPr>
            <w:tcW w:w="80" w:type="dxa"/>
            <w:vAlign w:val="bottom"/>
            <w:tcBorders>
              <w:top w:val="single" w:sz="8" w:color="E0E7ED"/>
            </w:tcBorders>
            <w:shd w:val="clear" w:color="auto" w:fill="E0E7ED"/>
          </w:tcPr>
          <w:p>
            <w:pPr>
              <w:spacing w:after="0"/>
              <w:rPr>
                <w:sz w:val="17"/>
                <w:szCs w:val="17"/>
                <w:color w:val="auto"/>
              </w:rPr>
            </w:pPr>
          </w:p>
        </w:tc>
        <w:tc>
          <w:tcPr>
            <w:tcW w:w="14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9.60 %</w:t>
            </w:r>
          </w:p>
        </w:tc>
        <w:tc>
          <w:tcPr>
            <w:tcW w:w="0" w:type="dxa"/>
            <w:vAlign w:val="bottom"/>
          </w:tcPr>
          <w:p>
            <w:pPr>
              <w:spacing w:after="0"/>
              <w:rPr>
                <w:sz w:val="1"/>
                <w:szCs w:val="1"/>
                <w:color w:val="auto"/>
              </w:rPr>
            </w:pPr>
          </w:p>
        </w:tc>
      </w:tr>
      <w:tr>
        <w:trPr>
          <w:trHeight w:val="202"/>
        </w:trPr>
        <w:tc>
          <w:tcPr>
            <w:tcW w:w="5220" w:type="dxa"/>
            <w:vAlign w:val="bottom"/>
          </w:tcPr>
          <w:p>
            <w:pPr>
              <w:ind w:left="20"/>
              <w:spacing w:after="0"/>
              <w:rPr>
                <w:sz w:val="20"/>
                <w:szCs w:val="20"/>
                <w:color w:val="auto"/>
              </w:rPr>
            </w:pPr>
            <w:r>
              <w:rPr>
                <w:rFonts w:ascii="Arial" w:cs="Arial" w:eastAsia="Arial" w:hAnsi="Arial"/>
                <w:sz w:val="14"/>
                <w:szCs w:val="14"/>
                <w:color w:val="auto"/>
              </w:rPr>
              <w:t>Tier 1 Capital to Risk Weighted Assets</w:t>
            </w:r>
          </w:p>
        </w:tc>
        <w:tc>
          <w:tcPr>
            <w:tcW w:w="1460" w:type="dxa"/>
            <w:vAlign w:val="bottom"/>
          </w:tcPr>
          <w:p>
            <w:pPr>
              <w:jc w:val="right"/>
              <w:spacing w:after="0"/>
              <w:rPr>
                <w:sz w:val="20"/>
                <w:szCs w:val="20"/>
                <w:color w:val="auto"/>
              </w:rPr>
            </w:pPr>
            <w:r>
              <w:rPr>
                <w:rFonts w:ascii="Arial" w:cs="Arial" w:eastAsia="Arial" w:hAnsi="Arial"/>
                <w:sz w:val="14"/>
                <w:szCs w:val="14"/>
                <w:color w:val="auto"/>
              </w:rPr>
              <w:t>8.50 %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12.05 %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16.21 %</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9.60 %</w:t>
            </w:r>
          </w:p>
        </w:tc>
        <w:tc>
          <w:tcPr>
            <w:tcW w:w="0" w:type="dxa"/>
            <w:vAlign w:val="bottom"/>
          </w:tcPr>
          <w:p>
            <w:pPr>
              <w:spacing w:after="0"/>
              <w:rPr>
                <w:sz w:val="1"/>
                <w:szCs w:val="1"/>
                <w:color w:val="auto"/>
              </w:rPr>
            </w:pPr>
          </w:p>
        </w:tc>
      </w:tr>
      <w:tr>
        <w:trPr>
          <w:trHeight w:val="222"/>
        </w:trPr>
        <w:tc>
          <w:tcPr>
            <w:tcW w:w="522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Capital to Risk Weighted Assets</w:t>
            </w: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10.50 %</w:t>
            </w:r>
          </w:p>
        </w:tc>
        <w:tc>
          <w:tcPr>
            <w:tcW w:w="100" w:type="dxa"/>
            <w:vAlign w:val="bottom"/>
            <w:shd w:val="clear" w:color="auto" w:fill="E0E7ED"/>
          </w:tcPr>
          <w:p>
            <w:pPr>
              <w:spacing w:after="0"/>
              <w:rPr>
                <w:sz w:val="19"/>
                <w:szCs w:val="19"/>
                <w:color w:val="auto"/>
              </w:rPr>
            </w:pP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14.88 %</w:t>
            </w:r>
          </w:p>
        </w:tc>
        <w:tc>
          <w:tcPr>
            <w:tcW w:w="80" w:type="dxa"/>
            <w:vAlign w:val="bottom"/>
            <w:shd w:val="clear" w:color="auto" w:fill="E0E7ED"/>
          </w:tcPr>
          <w:p>
            <w:pPr>
              <w:spacing w:after="0"/>
              <w:rPr>
                <w:sz w:val="19"/>
                <w:szCs w:val="19"/>
                <w:color w:val="auto"/>
              </w:rPr>
            </w:pP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17.21 %</w:t>
            </w:r>
          </w:p>
        </w:tc>
        <w:tc>
          <w:tcPr>
            <w:tcW w:w="80" w:type="dxa"/>
            <w:vAlign w:val="bottom"/>
            <w:shd w:val="clear" w:color="auto" w:fill="E0E7ED"/>
          </w:tcPr>
          <w:p>
            <w:pPr>
              <w:spacing w:after="0"/>
              <w:rPr>
                <w:sz w:val="19"/>
                <w:szCs w:val="19"/>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10.27 %</w:t>
            </w: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Arial" w:cs="Arial" w:eastAsia="Arial" w:hAnsi="Arial"/>
                <w:sz w:val="14"/>
                <w:szCs w:val="14"/>
                <w:color w:val="auto"/>
              </w:rPr>
              <w:t>Leverage Ratio of Tier 1 Capital to Average Assets</w:t>
            </w:r>
          </w:p>
        </w:tc>
        <w:tc>
          <w:tcPr>
            <w:tcW w:w="1460" w:type="dxa"/>
            <w:vAlign w:val="bottom"/>
          </w:tcPr>
          <w:p>
            <w:pPr>
              <w:jc w:val="right"/>
              <w:spacing w:after="0"/>
              <w:rPr>
                <w:sz w:val="20"/>
                <w:szCs w:val="20"/>
                <w:color w:val="auto"/>
              </w:rPr>
            </w:pPr>
            <w:r>
              <w:rPr>
                <w:rFonts w:ascii="Arial" w:cs="Arial" w:eastAsia="Arial" w:hAnsi="Arial"/>
                <w:sz w:val="14"/>
                <w:szCs w:val="14"/>
                <w:color w:val="auto"/>
              </w:rPr>
              <w:t>6.50 %</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12.95 %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12.08 %</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8.78 %</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further discussion of capital resources and requirements, see </w:t>
      </w:r>
      <w:r>
        <w:rPr>
          <w:rFonts w:ascii="Arial" w:cs="Arial" w:eastAsia="Arial" w:hAnsi="Arial"/>
          <w:sz w:val="14"/>
          <w:szCs w:val="14"/>
          <w:i w:val="1"/>
          <w:iCs w:val="1"/>
          <w:color w:val="0000FF"/>
        </w:rPr>
        <w:t>“Note 8: Regulatory Capital.”</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87" w:name="page88"/>
    <w:bookmarkEnd w:id="87"/>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INFORMATION</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This Quarterly Report contains certain financial information determined by methods other than in accordance with GAAP. Management uses these non-GAAP financial measures and non-GAAP ratios, together with the related GAAP financial measures, in analysis of Busey’s performance and in making business decisions, as well as for comparison to Busey’s peers. Busey believes the adjusted measures are useful for investors and management to understand the effects of certain non-core and non-recurring noninterest items and provide additional perspective on Busey’s performance over time.</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estimated federal income tax rates, or effective tax rates as noted with the tables below.</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reconciliations between these non-GAAP measures and what management believes to be the most directly comparable GAAP financial measures.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88" w:name="page89"/>
    <w:bookmarkEnd w:id="88"/>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NON-GAAP FINANCIAL MEASURES (Unaudited)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Pre-Provision Net Revenue and Related Measures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600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220" w:type="dxa"/>
            <w:vAlign w:val="bottom"/>
            <w:tcBorders>
              <w:bottom w:val="single" w:sz="8" w:color="E0E7ED"/>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2024</w:t>
            </w:r>
          </w:p>
        </w:tc>
      </w:tr>
      <w:tr>
        <w:trPr>
          <w:trHeight w:val="203"/>
        </w:trPr>
        <w:tc>
          <w:tcPr>
            <w:tcW w:w="60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Net interest income (GAAP)</w:t>
            </w:r>
          </w:p>
        </w:tc>
        <w:tc>
          <w:tcPr>
            <w:tcW w:w="2220" w:type="dxa"/>
            <w:vAlign w:val="bottom"/>
            <w:shd w:val="clear" w:color="auto" w:fill="E0E7ED"/>
          </w:tcPr>
          <w:p>
            <w:pPr>
              <w:spacing w:after="0"/>
              <w:rPr>
                <w:sz w:val="17"/>
                <w:szCs w:val="17"/>
                <w:color w:val="auto"/>
              </w:rPr>
            </w:pP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7ED"/>
          </w:tcPr>
          <w:p>
            <w:pPr>
              <w:jc w:val="right"/>
              <w:ind w:right="131"/>
              <w:spacing w:after="0"/>
              <w:rPr>
                <w:sz w:val="20"/>
                <w:szCs w:val="20"/>
                <w:color w:val="auto"/>
              </w:rPr>
            </w:pPr>
            <w:r>
              <w:rPr>
                <w:rFonts w:ascii="Arial" w:cs="Arial" w:eastAsia="Arial" w:hAnsi="Arial"/>
                <w:sz w:val="14"/>
                <w:szCs w:val="14"/>
                <w:color w:val="auto"/>
              </w:rPr>
              <w:t>103,731</w:t>
            </w:r>
          </w:p>
        </w:tc>
        <w:tc>
          <w:tcPr>
            <w:tcW w:w="80" w:type="dxa"/>
            <w:vAlign w:val="bottom"/>
            <w:shd w:val="clear" w:color="auto" w:fill="E0E7ED"/>
          </w:tcPr>
          <w:p>
            <w:pPr>
              <w:spacing w:after="0"/>
              <w:rPr>
                <w:sz w:val="17"/>
                <w:szCs w:val="17"/>
                <w:color w:val="auto"/>
              </w:rPr>
            </w:pP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75,854</w:t>
            </w:r>
          </w:p>
        </w:tc>
      </w:tr>
      <w:tr>
        <w:trPr>
          <w:trHeight w:val="206"/>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Total noninterest income (GAAP)</w:t>
            </w: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21,223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10"/>
              <w:spacing w:after="0"/>
              <w:rPr>
                <w:sz w:val="20"/>
                <w:szCs w:val="20"/>
                <w:color w:val="auto"/>
              </w:rPr>
            </w:pPr>
            <w:r>
              <w:rPr>
                <w:rFonts w:ascii="Arial" w:cs="Arial" w:eastAsia="Arial" w:hAnsi="Arial"/>
                <w:sz w:val="14"/>
                <w:szCs w:val="14"/>
                <w:color w:val="auto"/>
              </w:rPr>
              <w:t>34,913</w:t>
            </w:r>
          </w:p>
        </w:tc>
      </w:tr>
      <w:tr>
        <w:trPr>
          <w:trHeight w:val="218"/>
        </w:trPr>
        <w:tc>
          <w:tcPr>
            <w:tcW w:w="60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Net security (gains) losses (GAAP)</w:t>
            </w:r>
          </w:p>
        </w:tc>
        <w:tc>
          <w:tcPr>
            <w:tcW w:w="222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60" w:type="dxa"/>
            <w:vAlign w:val="bottom"/>
            <w:shd w:val="clear" w:color="auto" w:fill="E0E7ED"/>
          </w:tcPr>
          <w:p>
            <w:pPr>
              <w:jc w:val="right"/>
              <w:ind w:right="131"/>
              <w:spacing w:after="0"/>
              <w:rPr>
                <w:sz w:val="20"/>
                <w:szCs w:val="20"/>
                <w:color w:val="auto"/>
              </w:rPr>
            </w:pPr>
            <w:r>
              <w:rPr>
                <w:rFonts w:ascii="Arial" w:cs="Arial" w:eastAsia="Arial" w:hAnsi="Arial"/>
                <w:sz w:val="14"/>
                <w:szCs w:val="14"/>
                <w:color w:val="auto"/>
              </w:rPr>
              <w:t>15,768</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6,375</w:t>
            </w:r>
          </w:p>
        </w:tc>
      </w:tr>
      <w:tr>
        <w:trPr>
          <w:trHeight w:val="206"/>
        </w:trPr>
        <w:tc>
          <w:tcPr>
            <w:tcW w:w="6000" w:type="dxa"/>
            <w:vAlign w:val="bottom"/>
            <w:tcBorders>
              <w:bottom w:val="single" w:sz="8" w:color="E0E7ED"/>
            </w:tcBorders>
          </w:tcPr>
          <w:p>
            <w:pPr>
              <w:ind w:left="20"/>
              <w:spacing w:after="0"/>
              <w:rPr>
                <w:sz w:val="20"/>
                <w:szCs w:val="20"/>
                <w:color w:val="auto"/>
              </w:rPr>
            </w:pPr>
            <w:r>
              <w:rPr>
                <w:rFonts w:ascii="Arial" w:cs="Arial" w:eastAsia="Arial" w:hAnsi="Arial"/>
                <w:sz w:val="14"/>
                <w:szCs w:val="14"/>
                <w:b w:val="1"/>
                <w:bCs w:val="1"/>
                <w:color w:val="auto"/>
              </w:rPr>
              <w:t>Total noninterest expense (GAAP)</w:t>
            </w:r>
          </w:p>
        </w:tc>
        <w:tc>
          <w:tcPr>
            <w:tcW w:w="222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(115,171)</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(70,769)</w:t>
            </w:r>
          </w:p>
        </w:tc>
      </w:tr>
      <w:tr>
        <w:trPr>
          <w:trHeight w:val="209"/>
        </w:trPr>
        <w:tc>
          <w:tcPr>
            <w:tcW w:w="6000" w:type="dxa"/>
            <w:vAlign w:val="bottom"/>
            <w:shd w:val="clear" w:color="auto" w:fill="E0E7ED"/>
          </w:tcPr>
          <w:p>
            <w:pPr>
              <w:ind w:left="20"/>
              <w:spacing w:after="0"/>
              <w:rPr>
                <w:sz w:val="20"/>
                <w:szCs w:val="20"/>
                <w:color w:val="auto"/>
              </w:rPr>
            </w:pPr>
            <w:r>
              <w:rPr>
                <w:rFonts w:ascii="Arial" w:cs="Arial" w:eastAsia="Arial" w:hAnsi="Arial"/>
                <w:sz w:val="14"/>
                <w:szCs w:val="14"/>
                <w:color w:val="auto"/>
              </w:rPr>
              <w:t>Pre-provision net revenue (Non-GAAP)</w:t>
            </w:r>
          </w:p>
        </w:tc>
        <w:tc>
          <w:tcPr>
            <w:tcW w:w="2220" w:type="dxa"/>
            <w:vAlign w:val="bottom"/>
            <w:shd w:val="clear" w:color="auto" w:fill="E0E7ED"/>
          </w:tcPr>
          <w:p>
            <w:pPr>
              <w:ind w:left="1440"/>
              <w:spacing w:after="0"/>
              <w:rPr>
                <w:sz w:val="20"/>
                <w:szCs w:val="20"/>
                <w:color w:val="auto"/>
              </w:rPr>
            </w:pPr>
            <w:r>
              <w:rPr>
                <w:rFonts w:ascii="Arial" w:cs="Arial" w:eastAsia="Arial" w:hAnsi="Arial"/>
                <w:sz w:val="14"/>
                <w:szCs w:val="14"/>
                <w:color w:val="auto"/>
              </w:rPr>
              <w:t>[a]</w:t>
            </w:r>
          </w:p>
        </w:tc>
        <w:tc>
          <w:tcPr>
            <w:tcW w:w="340" w:type="dxa"/>
            <w:vAlign w:val="bottom"/>
            <w:shd w:val="clear" w:color="auto" w:fill="E0E7ED"/>
          </w:tcPr>
          <w:p>
            <w:pPr>
              <w:spacing w:after="0"/>
              <w:rPr>
                <w:sz w:val="18"/>
                <w:szCs w:val="18"/>
                <w:color w:val="auto"/>
              </w:rPr>
            </w:pPr>
          </w:p>
        </w:tc>
        <w:tc>
          <w:tcPr>
            <w:tcW w:w="1160" w:type="dxa"/>
            <w:vAlign w:val="bottom"/>
            <w:shd w:val="clear" w:color="auto" w:fill="E0E7ED"/>
          </w:tcPr>
          <w:p>
            <w:pPr>
              <w:jc w:val="right"/>
              <w:ind w:right="131"/>
              <w:spacing w:after="0"/>
              <w:rPr>
                <w:sz w:val="20"/>
                <w:szCs w:val="20"/>
                <w:color w:val="auto"/>
              </w:rPr>
            </w:pPr>
            <w:r>
              <w:rPr>
                <w:rFonts w:ascii="Arial" w:cs="Arial" w:eastAsia="Arial" w:hAnsi="Arial"/>
                <w:sz w:val="14"/>
                <w:szCs w:val="14"/>
                <w:color w:val="auto"/>
              </w:rPr>
              <w:t>25,551</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46,373</w:t>
            </w:r>
          </w:p>
        </w:tc>
      </w:tr>
      <w:tr>
        <w:trPr>
          <w:trHeight w:val="202"/>
        </w:trPr>
        <w:tc>
          <w:tcPr>
            <w:tcW w:w="6000" w:type="dxa"/>
            <w:vAlign w:val="bottom"/>
          </w:tcPr>
          <w:p>
            <w:pPr>
              <w:ind w:left="140"/>
              <w:spacing w:after="0"/>
              <w:rPr>
                <w:sz w:val="20"/>
                <w:szCs w:val="20"/>
                <w:color w:val="auto"/>
              </w:rPr>
            </w:pPr>
            <w:r>
              <w:rPr>
                <w:rFonts w:ascii="Arial" w:cs="Arial" w:eastAsia="Arial" w:hAnsi="Arial"/>
                <w:sz w:val="14"/>
                <w:szCs w:val="14"/>
                <w:color w:val="auto"/>
              </w:rPr>
              <w:t>Acquisition and restructuring expenses</w:t>
            </w: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26,026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10"/>
              <w:spacing w:after="0"/>
              <w:rPr>
                <w:sz w:val="20"/>
                <w:szCs w:val="20"/>
                <w:color w:val="auto"/>
              </w:rPr>
            </w:pPr>
            <w:r>
              <w:rPr>
                <w:rFonts w:ascii="Arial" w:cs="Arial" w:eastAsia="Arial" w:hAnsi="Arial"/>
                <w:sz w:val="14"/>
                <w:szCs w:val="14"/>
                <w:color w:val="auto"/>
              </w:rPr>
              <w:t>408</w:t>
            </w:r>
          </w:p>
        </w:tc>
      </w:tr>
      <w:tr>
        <w:trPr>
          <w:trHeight w:val="222"/>
        </w:trPr>
        <w:tc>
          <w:tcPr>
            <w:tcW w:w="60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Provision for unfunded commitments</w:t>
            </w:r>
          </w:p>
        </w:tc>
        <w:tc>
          <w:tcPr>
            <w:tcW w:w="222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60" w:type="dxa"/>
            <w:vAlign w:val="bottom"/>
            <w:shd w:val="clear" w:color="auto" w:fill="E0E7ED"/>
          </w:tcPr>
          <w:p>
            <w:pPr>
              <w:jc w:val="right"/>
              <w:ind w:right="131"/>
              <w:spacing w:after="0"/>
              <w:rPr>
                <w:sz w:val="20"/>
                <w:szCs w:val="20"/>
                <w:color w:val="auto"/>
              </w:rPr>
            </w:pPr>
            <w:r>
              <w:rPr>
                <w:rFonts w:ascii="Arial" w:cs="Arial" w:eastAsia="Arial" w:hAnsi="Arial"/>
                <w:sz w:val="14"/>
                <w:szCs w:val="14"/>
                <w:color w:val="auto"/>
              </w:rPr>
              <w:t>3,141</w:t>
            </w:r>
          </w:p>
        </w:tc>
        <w:tc>
          <w:tcPr>
            <w:tcW w:w="8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jc w:val="right"/>
              <w:ind w:right="70"/>
              <w:spacing w:after="0"/>
              <w:rPr>
                <w:sz w:val="20"/>
                <w:szCs w:val="20"/>
                <w:color w:val="auto"/>
              </w:rPr>
            </w:pPr>
            <w:r>
              <w:rPr>
                <w:rFonts w:ascii="Arial" w:cs="Arial" w:eastAsia="Arial" w:hAnsi="Arial"/>
                <w:sz w:val="14"/>
                <w:szCs w:val="14"/>
                <w:color w:val="auto"/>
              </w:rPr>
              <w:t>(678)</w:t>
            </w:r>
          </w:p>
        </w:tc>
      </w:tr>
      <w:tr>
        <w:trPr>
          <w:trHeight w:val="203"/>
        </w:trPr>
        <w:tc>
          <w:tcPr>
            <w:tcW w:w="6000" w:type="dxa"/>
            <w:vAlign w:val="bottom"/>
          </w:tcPr>
          <w:p>
            <w:pPr>
              <w:ind w:left="140"/>
              <w:spacing w:after="0"/>
              <w:rPr>
                <w:sz w:val="20"/>
                <w:szCs w:val="20"/>
                <w:color w:val="auto"/>
              </w:rPr>
            </w:pPr>
            <w:r>
              <w:rPr>
                <w:rFonts w:ascii="Arial" w:cs="Arial" w:eastAsia="Arial" w:hAnsi="Arial"/>
                <w:sz w:val="14"/>
                <w:szCs w:val="14"/>
                <w:color w:val="auto"/>
              </w:rPr>
              <w:t>Realized (gain) loss on the sale of mortgage service rights</w:t>
            </w: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(7,465)</w:t>
            </w:r>
          </w:p>
        </w:tc>
      </w:tr>
      <w:tr>
        <w:trPr>
          <w:trHeight w:val="237"/>
        </w:trPr>
        <w:tc>
          <w:tcPr>
            <w:tcW w:w="600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Adjusted pre-provision net revenue (Non-GAAP)</w:t>
            </w:r>
          </w:p>
        </w:tc>
        <w:tc>
          <w:tcPr>
            <w:tcW w:w="2220" w:type="dxa"/>
            <w:vAlign w:val="bottom"/>
            <w:tcBorders>
              <w:top w:val="single" w:sz="8" w:color="E0E7ED"/>
              <w:bottom w:val="single" w:sz="8" w:color="E0E7ED"/>
            </w:tcBorders>
            <w:shd w:val="clear" w:color="auto" w:fill="E0E7ED"/>
          </w:tcPr>
          <w:p>
            <w:pPr>
              <w:ind w:left="1440"/>
              <w:spacing w:after="0"/>
              <w:rPr>
                <w:sz w:val="20"/>
                <w:szCs w:val="20"/>
                <w:color w:val="auto"/>
              </w:rPr>
            </w:pPr>
            <w:r>
              <w:rPr>
                <w:rFonts w:ascii="Arial" w:cs="Arial" w:eastAsia="Arial" w:hAnsi="Arial"/>
                <w:sz w:val="14"/>
                <w:szCs w:val="14"/>
                <w:color w:val="auto"/>
              </w:rPr>
              <w:t>[b]</w:t>
            </w:r>
          </w:p>
        </w:tc>
        <w:tc>
          <w:tcPr>
            <w:tcW w:w="340" w:type="dxa"/>
            <w:vAlign w:val="bottom"/>
            <w:tcBorders>
              <w:top w:val="single" w:sz="8" w:color="auto"/>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E0E7ED"/>
          </w:tcPr>
          <w:p>
            <w:pPr>
              <w:jc w:val="right"/>
              <w:ind w:right="131"/>
              <w:spacing w:after="0"/>
              <w:rPr>
                <w:sz w:val="20"/>
                <w:szCs w:val="20"/>
                <w:color w:val="auto"/>
              </w:rPr>
            </w:pPr>
            <w:r>
              <w:rPr>
                <w:rFonts w:ascii="Arial" w:cs="Arial" w:eastAsia="Arial" w:hAnsi="Arial"/>
                <w:sz w:val="14"/>
                <w:szCs w:val="14"/>
                <w:color w:val="auto"/>
              </w:rPr>
              <w:t>54,718</w:t>
            </w:r>
          </w:p>
        </w:tc>
        <w:tc>
          <w:tcPr>
            <w:tcW w:w="80" w:type="dxa"/>
            <w:vAlign w:val="bottom"/>
            <w:tcBorders>
              <w:top w:val="single" w:sz="8" w:color="E0E7ED"/>
              <w:bottom w:val="single" w:sz="8" w:color="E0E7ED"/>
            </w:tcBorders>
            <w:shd w:val="clear" w:color="auto" w:fill="E0E7ED"/>
          </w:tcPr>
          <w:p>
            <w:pPr>
              <w:spacing w:after="0"/>
              <w:rPr>
                <w:sz w:val="20"/>
                <w:szCs w:val="20"/>
                <w:color w:val="auto"/>
              </w:rPr>
            </w:pPr>
          </w:p>
        </w:tc>
        <w:tc>
          <w:tcPr>
            <w:tcW w:w="340" w:type="dxa"/>
            <w:vAlign w:val="bottom"/>
            <w:tcBorders>
              <w:top w:val="single" w:sz="8" w:color="auto"/>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E0E7ED"/>
          </w:tcPr>
          <w:p>
            <w:pPr>
              <w:jc w:val="right"/>
              <w:ind w:right="110"/>
              <w:spacing w:after="0"/>
              <w:rPr>
                <w:sz w:val="20"/>
                <w:szCs w:val="20"/>
                <w:color w:val="auto"/>
              </w:rPr>
            </w:pPr>
            <w:r>
              <w:rPr>
                <w:rFonts w:ascii="Arial" w:cs="Arial" w:eastAsia="Arial" w:hAnsi="Arial"/>
                <w:sz w:val="14"/>
                <w:szCs w:val="14"/>
                <w:color w:val="auto"/>
              </w:rPr>
              <w:t>38,638</w:t>
            </w:r>
          </w:p>
        </w:tc>
      </w:tr>
      <w:tr>
        <w:trPr>
          <w:trHeight w:val="20"/>
        </w:trPr>
        <w:tc>
          <w:tcPr>
            <w:tcW w:w="6000" w:type="dxa"/>
            <w:vAlign w:val="bottom"/>
            <w:tcBorders>
              <w:top w:val="single" w:sz="8" w:color="E0E7ED"/>
            </w:tcBorders>
          </w:tcPr>
          <w:p>
            <w:pPr>
              <w:spacing w:after="0" w:line="20" w:lineRule="exact"/>
              <w:rPr>
                <w:sz w:val="1"/>
                <w:szCs w:val="1"/>
                <w:color w:val="auto"/>
              </w:rPr>
            </w:pPr>
          </w:p>
        </w:tc>
        <w:tc>
          <w:tcPr>
            <w:tcW w:w="222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60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2"/>
        </w:trPr>
        <w:tc>
          <w:tcPr>
            <w:tcW w:w="6000" w:type="dxa"/>
            <w:vAlign w:val="bottom"/>
            <w:shd w:val="clear" w:color="auto" w:fill="E0E7ED"/>
          </w:tcPr>
          <w:p>
            <w:pPr>
              <w:ind w:left="20"/>
              <w:spacing w:after="0"/>
              <w:rPr>
                <w:sz w:val="20"/>
                <w:szCs w:val="20"/>
                <w:color w:val="auto"/>
              </w:rPr>
            </w:pPr>
            <w:r>
              <w:rPr>
                <w:rFonts w:ascii="Arial" w:cs="Arial" w:eastAsia="Arial" w:hAnsi="Arial"/>
                <w:sz w:val="14"/>
                <w:szCs w:val="14"/>
                <w:color w:val="auto"/>
              </w:rPr>
              <w:t>Average total assets</w:t>
            </w:r>
          </w:p>
        </w:tc>
        <w:tc>
          <w:tcPr>
            <w:tcW w:w="2220" w:type="dxa"/>
            <w:vAlign w:val="bottom"/>
            <w:shd w:val="clear" w:color="auto" w:fill="E0E7ED"/>
          </w:tcPr>
          <w:p>
            <w:pPr>
              <w:ind w:left="1440"/>
              <w:spacing w:after="0"/>
              <w:rPr>
                <w:sz w:val="20"/>
                <w:szCs w:val="20"/>
                <w:color w:val="auto"/>
              </w:rPr>
            </w:pPr>
            <w:r>
              <w:rPr>
                <w:rFonts w:ascii="Arial" w:cs="Arial" w:eastAsia="Arial" w:hAnsi="Arial"/>
                <w:sz w:val="14"/>
                <w:szCs w:val="14"/>
                <w:color w:val="auto"/>
              </w:rPr>
              <w:t>[c]</w:t>
            </w:r>
          </w:p>
        </w:tc>
        <w:tc>
          <w:tcPr>
            <w:tcW w:w="340" w:type="dxa"/>
            <w:vAlign w:val="bottom"/>
            <w:shd w:val="clear" w:color="auto" w:fill="E0E7ED"/>
          </w:tcPr>
          <w:p>
            <w:pPr>
              <w:spacing w:after="0"/>
              <w:rPr>
                <w:sz w:val="18"/>
                <w:szCs w:val="18"/>
                <w:color w:val="auto"/>
              </w:rPr>
            </w:pPr>
          </w:p>
        </w:tc>
        <w:tc>
          <w:tcPr>
            <w:tcW w:w="1160" w:type="dxa"/>
            <w:vAlign w:val="bottom"/>
            <w:shd w:val="clear" w:color="auto" w:fill="E0E7ED"/>
          </w:tcPr>
          <w:p>
            <w:pPr>
              <w:jc w:val="right"/>
              <w:ind w:right="131"/>
              <w:spacing w:after="0"/>
              <w:rPr>
                <w:sz w:val="20"/>
                <w:szCs w:val="20"/>
                <w:color w:val="auto"/>
              </w:rPr>
            </w:pPr>
            <w:r>
              <w:rPr>
                <w:rFonts w:ascii="Arial" w:cs="Arial" w:eastAsia="Arial" w:hAnsi="Arial"/>
                <w:sz w:val="14"/>
                <w:szCs w:val="14"/>
                <w:color w:val="auto"/>
              </w:rPr>
              <w:t>14,831,298</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12,024,208</w:t>
            </w:r>
          </w:p>
        </w:tc>
      </w:tr>
      <w:tr>
        <w:trPr>
          <w:trHeight w:val="212"/>
        </w:trPr>
        <w:tc>
          <w:tcPr>
            <w:tcW w:w="6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6000" w:type="dxa"/>
            <w:vAlign w:val="bottom"/>
            <w:shd w:val="clear" w:color="auto" w:fill="E0E7ED"/>
          </w:tcPr>
          <w:p>
            <w:pPr>
              <w:ind w:left="20"/>
              <w:spacing w:after="0"/>
              <w:rPr>
                <w:sz w:val="20"/>
                <w:szCs w:val="20"/>
                <w:color w:val="auto"/>
              </w:rPr>
            </w:pPr>
            <w:r>
              <w:rPr>
                <w:rFonts w:ascii="Arial" w:cs="Arial" w:eastAsia="Arial" w:hAnsi="Arial"/>
                <w:sz w:val="14"/>
                <w:szCs w:val="14"/>
                <w:color w:val="auto"/>
              </w:rPr>
              <w:t>Pre-provision net revenue to average total assets (Non-GAAP)</w:t>
            </w:r>
            <w:r>
              <w:rPr>
                <w:rFonts w:ascii="Arial" w:cs="Arial" w:eastAsia="Arial" w:hAnsi="Arial"/>
                <w:sz w:val="18"/>
                <w:szCs w:val="18"/>
                <w:color w:val="auto"/>
                <w:vertAlign w:val="superscript"/>
              </w:rPr>
              <w:t>1</w:t>
            </w:r>
          </w:p>
        </w:tc>
        <w:tc>
          <w:tcPr>
            <w:tcW w:w="2220" w:type="dxa"/>
            <w:vAlign w:val="bottom"/>
            <w:shd w:val="clear" w:color="auto" w:fill="E0E7ED"/>
          </w:tcPr>
          <w:p>
            <w:pPr>
              <w:ind w:left="1440"/>
              <w:spacing w:after="0"/>
              <w:rPr>
                <w:sz w:val="20"/>
                <w:szCs w:val="20"/>
                <w:color w:val="auto"/>
              </w:rPr>
            </w:pPr>
            <w:r>
              <w:rPr>
                <w:rFonts w:ascii="Arial" w:cs="Arial" w:eastAsia="Arial" w:hAnsi="Arial"/>
                <w:sz w:val="14"/>
                <w:szCs w:val="14"/>
                <w:color w:val="auto"/>
              </w:rPr>
              <w:t>[a÷c]</w:t>
            </w:r>
          </w:p>
        </w:tc>
        <w:tc>
          <w:tcPr>
            <w:tcW w:w="34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0.70 %</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1.55 %</w:t>
            </w:r>
          </w:p>
        </w:tc>
      </w:tr>
      <w:tr>
        <w:trPr>
          <w:trHeight w:val="259"/>
        </w:trPr>
        <w:tc>
          <w:tcPr>
            <w:tcW w:w="6000" w:type="dxa"/>
            <w:vAlign w:val="bottom"/>
          </w:tcPr>
          <w:p>
            <w:pPr>
              <w:ind w:left="20"/>
              <w:spacing w:after="0"/>
              <w:rPr>
                <w:sz w:val="20"/>
                <w:szCs w:val="20"/>
                <w:color w:val="auto"/>
              </w:rPr>
            </w:pPr>
            <w:r>
              <w:rPr>
                <w:rFonts w:ascii="Arial" w:cs="Arial" w:eastAsia="Arial" w:hAnsi="Arial"/>
                <w:sz w:val="14"/>
                <w:szCs w:val="14"/>
                <w:color w:val="auto"/>
              </w:rPr>
              <w:t>Adjusted pre-provision net revenue to average total assets (Non-GAAP)</w:t>
            </w:r>
            <w:r>
              <w:rPr>
                <w:rFonts w:ascii="Arial" w:cs="Arial" w:eastAsia="Arial" w:hAnsi="Arial"/>
                <w:sz w:val="18"/>
                <w:szCs w:val="18"/>
                <w:color w:val="auto"/>
                <w:vertAlign w:val="superscript"/>
              </w:rPr>
              <w:t>1</w:t>
            </w:r>
          </w:p>
        </w:tc>
        <w:tc>
          <w:tcPr>
            <w:tcW w:w="2220" w:type="dxa"/>
            <w:vAlign w:val="bottom"/>
          </w:tcPr>
          <w:p>
            <w:pPr>
              <w:ind w:left="1440"/>
              <w:spacing w:after="0"/>
              <w:rPr>
                <w:sz w:val="20"/>
                <w:szCs w:val="20"/>
                <w:color w:val="auto"/>
              </w:rPr>
            </w:pPr>
            <w:r>
              <w:rPr>
                <w:rFonts w:ascii="Arial" w:cs="Arial" w:eastAsia="Arial" w:hAnsi="Arial"/>
                <w:sz w:val="14"/>
                <w:szCs w:val="14"/>
                <w:color w:val="auto"/>
              </w:rPr>
              <w:t>[b÷c]</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1.50 %</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1.29 %</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32"/>
        </w:numPr>
        <w:rPr>
          <w:rFonts w:ascii="Arial" w:cs="Arial" w:eastAsia="Arial" w:hAnsi="Arial"/>
          <w:sz w:val="11"/>
          <w:szCs w:val="11"/>
          <w:color w:val="auto"/>
        </w:rPr>
      </w:pPr>
      <w:r>
        <w:rPr>
          <w:rFonts w:ascii="Arial" w:cs="Arial" w:eastAsia="Arial" w:hAnsi="Arial"/>
          <w:sz w:val="11"/>
          <w:szCs w:val="11"/>
          <w:color w:val="auto"/>
        </w:rPr>
        <w:t>Annualized measure.</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89" w:name="page90"/>
    <w:bookmarkEnd w:id="89"/>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NON-GAAP FINANCIAL MEASURES (Unaudited)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Adjusted Net Income, Average Tangible Common Equity, and Related Ratios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628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 except per share amounts)</w:t>
            </w: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30"/>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30"/>
              <w:spacing w:after="0"/>
              <w:rPr>
                <w:sz w:val="20"/>
                <w:szCs w:val="20"/>
                <w:color w:val="auto"/>
              </w:rPr>
            </w:pPr>
            <w:r>
              <w:rPr>
                <w:rFonts w:ascii="Arial" w:cs="Arial" w:eastAsia="Arial" w:hAnsi="Arial"/>
                <w:sz w:val="11"/>
                <w:szCs w:val="11"/>
                <w:b w:val="1"/>
                <w:bCs w:val="1"/>
                <w:color w:val="auto"/>
              </w:rPr>
              <w:t>2024</w:t>
            </w:r>
          </w:p>
        </w:tc>
      </w:tr>
      <w:tr>
        <w:trPr>
          <w:trHeight w:val="212"/>
        </w:trPr>
        <w:tc>
          <w:tcPr>
            <w:tcW w:w="62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Net income (loss) (GAAP)</w:t>
            </w:r>
          </w:p>
        </w:tc>
        <w:tc>
          <w:tcPr>
            <w:tcW w:w="2020" w:type="dxa"/>
            <w:vAlign w:val="bottom"/>
            <w:shd w:val="clear" w:color="auto" w:fill="E0E7ED"/>
          </w:tcPr>
          <w:p>
            <w:pPr>
              <w:ind w:left="1260"/>
              <w:spacing w:after="0"/>
              <w:rPr>
                <w:sz w:val="20"/>
                <w:szCs w:val="20"/>
                <w:color w:val="auto"/>
              </w:rPr>
            </w:pPr>
            <w:r>
              <w:rPr>
                <w:rFonts w:ascii="Arial" w:cs="Arial" w:eastAsia="Arial" w:hAnsi="Arial"/>
                <w:sz w:val="14"/>
                <w:szCs w:val="14"/>
                <w:color w:val="auto"/>
              </w:rPr>
              <w:t>[a]</w:t>
            </w: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E0E7ED"/>
          </w:tcPr>
          <w:p>
            <w:pPr>
              <w:jc w:val="right"/>
              <w:ind w:right="70"/>
              <w:spacing w:after="0"/>
              <w:rPr>
                <w:sz w:val="20"/>
                <w:szCs w:val="20"/>
                <w:color w:val="auto"/>
              </w:rPr>
            </w:pPr>
            <w:r>
              <w:rPr>
                <w:rFonts w:ascii="Arial" w:cs="Arial" w:eastAsia="Arial" w:hAnsi="Arial"/>
                <w:sz w:val="14"/>
                <w:szCs w:val="14"/>
                <w:color w:val="auto"/>
              </w:rPr>
              <w:t>(29,990)</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26,225</w:t>
            </w:r>
          </w:p>
        </w:tc>
      </w:tr>
      <w:tr>
        <w:trPr>
          <w:trHeight w:val="212"/>
        </w:trPr>
        <w:tc>
          <w:tcPr>
            <w:tcW w:w="6280" w:type="dxa"/>
            <w:vAlign w:val="bottom"/>
          </w:tcPr>
          <w:p>
            <w:pPr>
              <w:ind w:left="140"/>
              <w:spacing w:after="0"/>
              <w:rPr>
                <w:sz w:val="20"/>
                <w:szCs w:val="20"/>
                <w:color w:val="auto"/>
              </w:rPr>
            </w:pPr>
            <w:r>
              <w:rPr>
                <w:rFonts w:ascii="Arial" w:cs="Arial" w:eastAsia="Arial" w:hAnsi="Arial"/>
                <w:sz w:val="14"/>
                <w:szCs w:val="14"/>
                <w:color w:val="auto"/>
              </w:rPr>
              <w:t>Day 2 provision for credit losses</w:t>
            </w:r>
            <w:r>
              <w:rPr>
                <w:rFonts w:ascii="Arial" w:cs="Arial" w:eastAsia="Arial" w:hAnsi="Arial"/>
                <w:sz w:val="18"/>
                <w:szCs w:val="18"/>
                <w:color w:val="auto"/>
                <w:vertAlign w:val="superscript"/>
              </w:rPr>
              <w:t>1</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42,433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212"/>
        </w:trPr>
        <w:tc>
          <w:tcPr>
            <w:tcW w:w="62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Day 2 provision for unfunded commitments</w:t>
            </w:r>
            <w:r>
              <w:rPr>
                <w:rFonts w:ascii="Arial" w:cs="Arial" w:eastAsia="Arial" w:hAnsi="Arial"/>
                <w:sz w:val="18"/>
                <w:szCs w:val="18"/>
                <w:color w:val="auto"/>
                <w:vertAlign w:val="superscript"/>
              </w:rPr>
              <w:t>2</w:t>
            </w:r>
          </w:p>
        </w:tc>
        <w:tc>
          <w:tcPr>
            <w:tcW w:w="202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12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3,139</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2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w:t>
            </w:r>
          </w:p>
        </w:tc>
      </w:tr>
      <w:tr>
        <w:trPr>
          <w:trHeight w:val="202"/>
        </w:trPr>
        <w:tc>
          <w:tcPr>
            <w:tcW w:w="6280" w:type="dxa"/>
            <w:vAlign w:val="bottom"/>
          </w:tcPr>
          <w:p>
            <w:pPr>
              <w:ind w:left="140"/>
              <w:spacing w:after="0"/>
              <w:rPr>
                <w:sz w:val="20"/>
                <w:szCs w:val="20"/>
                <w:color w:val="auto"/>
              </w:rPr>
            </w:pPr>
            <w:r>
              <w:rPr>
                <w:rFonts w:ascii="Arial" w:cs="Arial" w:eastAsia="Arial" w:hAnsi="Arial"/>
                <w:sz w:val="14"/>
                <w:szCs w:val="14"/>
                <w:color w:val="auto"/>
              </w:rPr>
              <w:t>Other acquisition expenses</w:t>
            </w: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26,026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285</w:t>
            </w:r>
          </w:p>
        </w:tc>
      </w:tr>
      <w:tr>
        <w:trPr>
          <w:trHeight w:val="222"/>
        </w:trPr>
        <w:tc>
          <w:tcPr>
            <w:tcW w:w="62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Restructuring expenses</w:t>
            </w:r>
          </w:p>
        </w:tc>
        <w:tc>
          <w:tcPr>
            <w:tcW w:w="202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200" w:type="dxa"/>
            <w:vAlign w:val="bottom"/>
            <w:gridSpan w:val="2"/>
            <w:shd w:val="clear" w:color="auto" w:fill="E0E7ED"/>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0E7ED"/>
          </w:tcPr>
          <w:p>
            <w:pPr>
              <w:spacing w:after="0"/>
              <w:rPr>
                <w:sz w:val="19"/>
                <w:szCs w:val="19"/>
                <w:color w:val="auto"/>
              </w:rPr>
            </w:pPr>
          </w:p>
        </w:tc>
        <w:tc>
          <w:tcPr>
            <w:tcW w:w="112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123</w:t>
            </w:r>
          </w:p>
        </w:tc>
      </w:tr>
      <w:tr>
        <w:trPr>
          <w:trHeight w:val="202"/>
        </w:trPr>
        <w:tc>
          <w:tcPr>
            <w:tcW w:w="6280" w:type="dxa"/>
            <w:vAlign w:val="bottom"/>
          </w:tcPr>
          <w:p>
            <w:pPr>
              <w:ind w:left="140"/>
              <w:spacing w:after="0"/>
              <w:rPr>
                <w:sz w:val="20"/>
                <w:szCs w:val="20"/>
                <w:color w:val="auto"/>
              </w:rPr>
            </w:pPr>
            <w:r>
              <w:rPr>
                <w:rFonts w:ascii="Arial" w:cs="Arial" w:eastAsia="Arial" w:hAnsi="Arial"/>
                <w:sz w:val="14"/>
                <w:szCs w:val="14"/>
                <w:color w:val="auto"/>
              </w:rPr>
              <w:t>Net securities (gains) losses</w:t>
            </w: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15,768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6,375</w:t>
            </w:r>
          </w:p>
        </w:tc>
      </w:tr>
      <w:tr>
        <w:trPr>
          <w:trHeight w:val="222"/>
        </w:trPr>
        <w:tc>
          <w:tcPr>
            <w:tcW w:w="62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Realized net (gains) losses on the sale of mortgage servicing rights</w:t>
            </w:r>
          </w:p>
        </w:tc>
        <w:tc>
          <w:tcPr>
            <w:tcW w:w="202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200" w:type="dxa"/>
            <w:vAlign w:val="bottom"/>
            <w:gridSpan w:val="2"/>
            <w:shd w:val="clear" w:color="auto" w:fill="E0E7ED"/>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0E7ED"/>
          </w:tcPr>
          <w:p>
            <w:pPr>
              <w:spacing w:after="0"/>
              <w:rPr>
                <w:sz w:val="19"/>
                <w:szCs w:val="19"/>
                <w:color w:val="auto"/>
              </w:rPr>
            </w:pPr>
          </w:p>
        </w:tc>
        <w:tc>
          <w:tcPr>
            <w:tcW w:w="1120" w:type="dxa"/>
            <w:vAlign w:val="bottom"/>
            <w:shd w:val="clear" w:color="auto" w:fill="E0E7ED"/>
          </w:tcPr>
          <w:p>
            <w:pPr>
              <w:jc w:val="right"/>
              <w:ind w:right="70"/>
              <w:spacing w:after="0"/>
              <w:rPr>
                <w:sz w:val="20"/>
                <w:szCs w:val="20"/>
                <w:color w:val="auto"/>
              </w:rPr>
            </w:pPr>
            <w:r>
              <w:rPr>
                <w:rFonts w:ascii="Arial" w:cs="Arial" w:eastAsia="Arial" w:hAnsi="Arial"/>
                <w:sz w:val="14"/>
                <w:szCs w:val="14"/>
                <w:color w:val="auto"/>
              </w:rPr>
              <w:t>(7,465)</w:t>
            </w:r>
          </w:p>
        </w:tc>
      </w:tr>
      <w:tr>
        <w:trPr>
          <w:trHeight w:val="212"/>
        </w:trPr>
        <w:tc>
          <w:tcPr>
            <w:tcW w:w="6280" w:type="dxa"/>
            <w:vAlign w:val="bottom"/>
          </w:tcPr>
          <w:p>
            <w:pPr>
              <w:ind w:left="140"/>
              <w:spacing w:after="0"/>
              <w:rPr>
                <w:sz w:val="20"/>
                <w:szCs w:val="20"/>
                <w:color w:val="auto"/>
              </w:rPr>
            </w:pPr>
            <w:r>
              <w:rPr>
                <w:rFonts w:ascii="Arial" w:cs="Arial" w:eastAsia="Arial" w:hAnsi="Arial"/>
                <w:sz w:val="14"/>
                <w:szCs w:val="14"/>
                <w:color w:val="auto"/>
              </w:rPr>
              <w:t>Related tax (benefit) expense</w:t>
            </w:r>
            <w:r>
              <w:rPr>
                <w:rFonts w:ascii="Arial" w:cs="Arial" w:eastAsia="Arial" w:hAnsi="Arial"/>
                <w:sz w:val="18"/>
                <w:szCs w:val="18"/>
                <w:color w:val="auto"/>
                <w:vertAlign w:val="superscript"/>
              </w:rPr>
              <w:t>3</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(22,069)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170</w:t>
            </w:r>
          </w:p>
        </w:tc>
      </w:tr>
      <w:tr>
        <w:trPr>
          <w:trHeight w:val="212"/>
        </w:trPr>
        <w:tc>
          <w:tcPr>
            <w:tcW w:w="62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Non-recurring deferred tax valuation adjustment</w:t>
            </w:r>
            <w:r>
              <w:rPr>
                <w:rFonts w:ascii="Arial" w:cs="Arial" w:eastAsia="Arial" w:hAnsi="Arial"/>
                <w:sz w:val="18"/>
                <w:szCs w:val="18"/>
                <w:color w:val="auto"/>
                <w:vertAlign w:val="superscript"/>
              </w:rPr>
              <w:t>4</w:t>
            </w:r>
          </w:p>
        </w:tc>
        <w:tc>
          <w:tcPr>
            <w:tcW w:w="202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4"/>
                <w:szCs w:val="14"/>
                <w:color w:val="auto"/>
              </w:rPr>
              <w:t>4,591</w:t>
            </w:r>
          </w:p>
        </w:tc>
        <w:tc>
          <w:tcPr>
            <w:tcW w:w="80" w:type="dxa"/>
            <w:vAlign w:val="bottom"/>
            <w:shd w:val="clear" w:color="auto" w:fill="E0E7ED"/>
          </w:tcPr>
          <w:p>
            <w:pPr>
              <w:spacing w:after="0"/>
              <w:rPr>
                <w:sz w:val="18"/>
                <w:szCs w:val="18"/>
                <w:color w:val="auto"/>
              </w:rPr>
            </w:pPr>
          </w:p>
        </w:tc>
        <w:tc>
          <w:tcPr>
            <w:tcW w:w="34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4"/>
                <w:szCs w:val="14"/>
                <w:color w:val="auto"/>
              </w:rPr>
              <w:t>—</w:t>
            </w:r>
          </w:p>
        </w:tc>
      </w:tr>
      <w:tr>
        <w:trPr>
          <w:trHeight w:val="203"/>
        </w:trPr>
        <w:tc>
          <w:tcPr>
            <w:tcW w:w="6280" w:type="dxa"/>
            <w:vAlign w:val="bottom"/>
          </w:tcPr>
          <w:p>
            <w:pPr>
              <w:ind w:left="20"/>
              <w:spacing w:after="0" w:line="203" w:lineRule="exact"/>
              <w:rPr>
                <w:sz w:val="20"/>
                <w:szCs w:val="20"/>
                <w:color w:val="auto"/>
              </w:rPr>
            </w:pPr>
            <w:r>
              <w:rPr>
                <w:rFonts w:ascii="Arial" w:cs="Arial" w:eastAsia="Arial" w:hAnsi="Arial"/>
                <w:sz w:val="14"/>
                <w:szCs w:val="14"/>
                <w:color w:val="auto"/>
              </w:rPr>
              <w:t>Adjusted net income (Non-GAAP)</w:t>
            </w:r>
            <w:r>
              <w:rPr>
                <w:rFonts w:ascii="Arial" w:cs="Arial" w:eastAsia="Arial" w:hAnsi="Arial"/>
                <w:sz w:val="18"/>
                <w:szCs w:val="18"/>
                <w:color w:val="auto"/>
                <w:vertAlign w:val="superscript"/>
              </w:rPr>
              <w:t>5</w:t>
            </w:r>
          </w:p>
        </w:tc>
        <w:tc>
          <w:tcPr>
            <w:tcW w:w="2020" w:type="dxa"/>
            <w:vAlign w:val="bottom"/>
          </w:tcPr>
          <w:p>
            <w:pPr>
              <w:ind w:left="1260"/>
              <w:spacing w:after="0"/>
              <w:rPr>
                <w:sz w:val="20"/>
                <w:szCs w:val="20"/>
                <w:color w:val="auto"/>
              </w:rPr>
            </w:pPr>
            <w:r>
              <w:rPr>
                <w:rFonts w:ascii="Arial" w:cs="Arial" w:eastAsia="Arial" w:hAnsi="Arial"/>
                <w:sz w:val="14"/>
                <w:szCs w:val="14"/>
                <w:color w:val="auto"/>
              </w:rPr>
              <w:t>[b]</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39,898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25,713</w:t>
            </w:r>
          </w:p>
        </w:tc>
      </w:tr>
      <w:tr>
        <w:trPr>
          <w:trHeight w:val="20"/>
        </w:trPr>
        <w:tc>
          <w:tcPr>
            <w:tcW w:w="6280" w:type="dxa"/>
            <w:vAlign w:val="bottom"/>
            <w:tcBorders>
              <w:bottom w:val="single" w:sz="8" w:color="E0E7ED"/>
            </w:tcBorders>
          </w:tcPr>
          <w:p>
            <w:pPr>
              <w:spacing w:after="0" w:line="20" w:lineRule="exact"/>
              <w:rPr>
                <w:sz w:val="1"/>
                <w:szCs w:val="1"/>
                <w:color w:val="auto"/>
              </w:rPr>
            </w:pPr>
          </w:p>
        </w:tc>
        <w:tc>
          <w:tcPr>
            <w:tcW w:w="202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3"/>
        </w:trPr>
        <w:tc>
          <w:tcPr>
            <w:tcW w:w="6280" w:type="dxa"/>
            <w:vAlign w:val="bottom"/>
            <w:shd w:val="clear" w:color="auto" w:fill="E0E7ED"/>
          </w:tcPr>
          <w:p>
            <w:pPr>
              <w:spacing w:after="0"/>
              <w:rPr>
                <w:sz w:val="15"/>
                <w:szCs w:val="15"/>
                <w:color w:val="auto"/>
              </w:rPr>
            </w:pPr>
          </w:p>
        </w:tc>
        <w:tc>
          <w:tcPr>
            <w:tcW w:w="202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20" w:type="dxa"/>
            <w:vAlign w:val="bottom"/>
            <w:shd w:val="clear" w:color="auto" w:fill="E0E7ED"/>
          </w:tcPr>
          <w:p>
            <w:pPr>
              <w:spacing w:after="0"/>
              <w:rPr>
                <w:sz w:val="15"/>
                <w:szCs w:val="15"/>
                <w:color w:val="auto"/>
              </w:rPr>
            </w:pPr>
          </w:p>
        </w:tc>
      </w:tr>
      <w:tr>
        <w:trPr>
          <w:trHeight w:val="20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Weighted average number of common shares outstanding, diluted (GAAP)</w:t>
            </w:r>
          </w:p>
        </w:tc>
        <w:tc>
          <w:tcPr>
            <w:tcW w:w="2020" w:type="dxa"/>
            <w:vAlign w:val="bottom"/>
          </w:tcPr>
          <w:p>
            <w:pPr>
              <w:ind w:left="1260"/>
              <w:spacing w:after="0"/>
              <w:rPr>
                <w:sz w:val="20"/>
                <w:szCs w:val="20"/>
                <w:color w:val="auto"/>
              </w:rPr>
            </w:pPr>
            <w:r>
              <w:rPr>
                <w:rFonts w:ascii="Arial" w:cs="Arial" w:eastAsia="Arial" w:hAnsi="Arial"/>
                <w:sz w:val="14"/>
                <w:szCs w:val="14"/>
                <w:color w:val="auto"/>
              </w:rPr>
              <w:t>[c]</w:t>
            </w:r>
          </w:p>
        </w:tc>
        <w:tc>
          <w:tcPr>
            <w:tcW w:w="320" w:type="dxa"/>
            <w:vAlign w:val="bottom"/>
          </w:tcPr>
          <w:p>
            <w:pPr>
              <w:spacing w:after="0"/>
              <w:rPr>
                <w:sz w:val="17"/>
                <w:szCs w:val="17"/>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68,517,647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56,406,500</w:t>
            </w:r>
          </w:p>
        </w:tc>
      </w:tr>
      <w:tr>
        <w:trPr>
          <w:trHeight w:val="218"/>
        </w:trPr>
        <w:tc>
          <w:tcPr>
            <w:tcW w:w="62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Diluted earnings (loss) per common share (GAAP)</w:t>
            </w:r>
          </w:p>
        </w:tc>
        <w:tc>
          <w:tcPr>
            <w:tcW w:w="2020" w:type="dxa"/>
            <w:vAlign w:val="bottom"/>
            <w:shd w:val="clear" w:color="auto" w:fill="E0E7ED"/>
          </w:tcPr>
          <w:p>
            <w:pPr>
              <w:ind w:left="1260"/>
              <w:spacing w:after="0"/>
              <w:rPr>
                <w:sz w:val="20"/>
                <w:szCs w:val="20"/>
                <w:color w:val="auto"/>
              </w:rPr>
            </w:pPr>
            <w:r>
              <w:rPr>
                <w:rFonts w:ascii="Arial" w:cs="Arial" w:eastAsia="Arial" w:hAnsi="Arial"/>
                <w:sz w:val="14"/>
                <w:szCs w:val="14"/>
                <w:color w:val="auto"/>
              </w:rPr>
              <w:t>[a÷c]</w:t>
            </w: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E0E7ED"/>
          </w:tcPr>
          <w:p>
            <w:pPr>
              <w:jc w:val="right"/>
              <w:ind w:right="70"/>
              <w:spacing w:after="0"/>
              <w:rPr>
                <w:sz w:val="20"/>
                <w:szCs w:val="20"/>
                <w:color w:val="auto"/>
              </w:rPr>
            </w:pPr>
            <w:r>
              <w:rPr>
                <w:rFonts w:ascii="Arial" w:cs="Arial" w:eastAsia="Arial" w:hAnsi="Arial"/>
                <w:sz w:val="14"/>
                <w:szCs w:val="14"/>
                <w:color w:val="auto"/>
              </w:rPr>
              <w:t>(0.44)</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0.46</w:t>
            </w:r>
          </w:p>
        </w:tc>
      </w:tr>
      <w:tr>
        <w:trPr>
          <w:trHeight w:val="212"/>
        </w:trPr>
        <w:tc>
          <w:tcPr>
            <w:tcW w:w="6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6280" w:type="dxa"/>
            <w:vAlign w:val="bottom"/>
            <w:shd w:val="clear" w:color="auto" w:fill="E0E7ED"/>
          </w:tcPr>
          <w:p>
            <w:pPr>
              <w:ind w:left="20"/>
              <w:spacing w:after="0"/>
              <w:rPr>
                <w:sz w:val="20"/>
                <w:szCs w:val="20"/>
                <w:color w:val="auto"/>
              </w:rPr>
            </w:pPr>
            <w:r>
              <w:rPr>
                <w:rFonts w:ascii="Arial" w:cs="Arial" w:eastAsia="Arial" w:hAnsi="Arial"/>
                <w:sz w:val="14"/>
                <w:szCs w:val="14"/>
                <w:color w:val="auto"/>
              </w:rPr>
              <w:t>Weighted average number of common shares outstanding, diluted (Non-GAAP)</w:t>
            </w:r>
            <w:r>
              <w:rPr>
                <w:rFonts w:ascii="Arial" w:cs="Arial" w:eastAsia="Arial" w:hAnsi="Arial"/>
                <w:sz w:val="18"/>
                <w:szCs w:val="18"/>
                <w:color w:val="auto"/>
                <w:vertAlign w:val="superscript"/>
              </w:rPr>
              <w:t>6</w:t>
            </w:r>
          </w:p>
        </w:tc>
        <w:tc>
          <w:tcPr>
            <w:tcW w:w="2020" w:type="dxa"/>
            <w:vAlign w:val="bottom"/>
            <w:shd w:val="clear" w:color="auto" w:fill="E0E7ED"/>
          </w:tcPr>
          <w:p>
            <w:pPr>
              <w:ind w:left="1260"/>
              <w:spacing w:after="0"/>
              <w:rPr>
                <w:sz w:val="20"/>
                <w:szCs w:val="20"/>
                <w:color w:val="auto"/>
              </w:rPr>
            </w:pPr>
            <w:r>
              <w:rPr>
                <w:rFonts w:ascii="Arial" w:cs="Arial" w:eastAsia="Arial" w:hAnsi="Arial"/>
                <w:sz w:val="14"/>
                <w:szCs w:val="14"/>
                <w:color w:val="auto"/>
              </w:rPr>
              <w:t>[d]</w:t>
            </w:r>
          </w:p>
        </w:tc>
        <w:tc>
          <w:tcPr>
            <w:tcW w:w="320" w:type="dxa"/>
            <w:vAlign w:val="bottom"/>
            <w:shd w:val="clear" w:color="auto" w:fill="E0E7ED"/>
          </w:tcPr>
          <w:p>
            <w:pPr>
              <w:spacing w:after="0"/>
              <w:rPr>
                <w:sz w:val="18"/>
                <w:szCs w:val="18"/>
                <w:color w:val="auto"/>
              </w:rPr>
            </w:pPr>
          </w:p>
        </w:tc>
        <w:tc>
          <w:tcPr>
            <w:tcW w:w="112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69,502,717</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2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56,406,500</w:t>
            </w:r>
          </w:p>
        </w:tc>
      </w:tr>
      <w:tr>
        <w:trPr>
          <w:trHeight w:val="212"/>
        </w:trPr>
        <w:tc>
          <w:tcPr>
            <w:tcW w:w="6280" w:type="dxa"/>
            <w:vAlign w:val="bottom"/>
          </w:tcPr>
          <w:p>
            <w:pPr>
              <w:ind w:left="20"/>
              <w:spacing w:after="0"/>
              <w:rPr>
                <w:sz w:val="20"/>
                <w:szCs w:val="20"/>
                <w:color w:val="auto"/>
              </w:rPr>
            </w:pPr>
            <w:r>
              <w:rPr>
                <w:rFonts w:ascii="Arial" w:cs="Arial" w:eastAsia="Arial" w:hAnsi="Arial"/>
                <w:sz w:val="14"/>
                <w:szCs w:val="14"/>
                <w:color w:val="auto"/>
              </w:rPr>
              <w:t>Adjusted diluted earnings per common share (Non-GAAP)</w:t>
            </w:r>
            <w:r>
              <w:rPr>
                <w:rFonts w:ascii="Arial" w:cs="Arial" w:eastAsia="Arial" w:hAnsi="Arial"/>
                <w:sz w:val="18"/>
                <w:szCs w:val="18"/>
                <w:color w:val="auto"/>
                <w:vertAlign w:val="superscript"/>
              </w:rPr>
              <w:t>5, 6</w:t>
            </w:r>
          </w:p>
        </w:tc>
        <w:tc>
          <w:tcPr>
            <w:tcW w:w="2020" w:type="dxa"/>
            <w:vAlign w:val="bottom"/>
          </w:tcPr>
          <w:p>
            <w:pPr>
              <w:ind w:left="1260"/>
              <w:spacing w:after="0"/>
              <w:rPr>
                <w:sz w:val="20"/>
                <w:szCs w:val="20"/>
                <w:color w:val="auto"/>
              </w:rPr>
            </w:pPr>
            <w:r>
              <w:rPr>
                <w:rFonts w:ascii="Arial" w:cs="Arial" w:eastAsia="Arial" w:hAnsi="Arial"/>
                <w:sz w:val="14"/>
                <w:szCs w:val="14"/>
                <w:color w:val="auto"/>
              </w:rPr>
              <w:t>[b÷d]</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0.57</w:t>
            </w:r>
          </w:p>
        </w:tc>
        <w:tc>
          <w:tcPr>
            <w:tcW w:w="80" w:type="dxa"/>
            <w:vAlign w:val="bottom"/>
          </w:tcPr>
          <w:p>
            <w:pPr>
              <w:spacing w:after="0"/>
              <w:rPr>
                <w:sz w:val="18"/>
                <w:szCs w:val="18"/>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0.46</w:t>
            </w:r>
          </w:p>
        </w:tc>
      </w:tr>
      <w:tr>
        <w:trPr>
          <w:trHeight w:val="212"/>
        </w:trPr>
        <w:tc>
          <w:tcPr>
            <w:tcW w:w="6280" w:type="dxa"/>
            <w:vAlign w:val="bottom"/>
            <w:shd w:val="clear" w:color="auto" w:fill="E0E7ED"/>
          </w:tcPr>
          <w:p>
            <w:pPr>
              <w:spacing w:after="0"/>
              <w:rPr>
                <w:sz w:val="18"/>
                <w:szCs w:val="18"/>
                <w:color w:val="auto"/>
              </w:rPr>
            </w:pPr>
          </w:p>
        </w:tc>
        <w:tc>
          <w:tcPr>
            <w:tcW w:w="202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r>
      <w:tr>
        <w:trPr>
          <w:trHeight w:val="202"/>
        </w:trPr>
        <w:tc>
          <w:tcPr>
            <w:tcW w:w="6280" w:type="dxa"/>
            <w:vAlign w:val="bottom"/>
          </w:tcPr>
          <w:p>
            <w:pPr>
              <w:ind w:left="20"/>
              <w:spacing w:after="0"/>
              <w:rPr>
                <w:sz w:val="20"/>
                <w:szCs w:val="20"/>
                <w:color w:val="auto"/>
              </w:rPr>
            </w:pPr>
            <w:r>
              <w:rPr>
                <w:rFonts w:ascii="Arial" w:cs="Arial" w:eastAsia="Arial" w:hAnsi="Arial"/>
                <w:sz w:val="14"/>
                <w:szCs w:val="14"/>
                <w:color w:val="auto"/>
              </w:rPr>
              <w:t>Average total assets</w:t>
            </w:r>
          </w:p>
        </w:tc>
        <w:tc>
          <w:tcPr>
            <w:tcW w:w="2020" w:type="dxa"/>
            <w:vAlign w:val="bottom"/>
          </w:tcPr>
          <w:p>
            <w:pPr>
              <w:ind w:left="1260"/>
              <w:spacing w:after="0"/>
              <w:rPr>
                <w:sz w:val="20"/>
                <w:szCs w:val="20"/>
                <w:color w:val="auto"/>
              </w:rPr>
            </w:pPr>
            <w:r>
              <w:rPr>
                <w:rFonts w:ascii="Arial" w:cs="Arial" w:eastAsia="Arial" w:hAnsi="Arial"/>
                <w:sz w:val="14"/>
                <w:szCs w:val="14"/>
                <w:color w:val="auto"/>
              </w:rPr>
              <w:t>[e]</w:t>
            </w:r>
          </w:p>
        </w:tc>
        <w:tc>
          <w:tcPr>
            <w:tcW w:w="320" w:type="dxa"/>
            <w:vAlign w:val="bottom"/>
          </w:tcPr>
          <w:p>
            <w:pPr>
              <w:spacing w:after="0"/>
              <w:rPr>
                <w:sz w:val="17"/>
                <w:szCs w:val="17"/>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14,831,298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12,024,208</w:t>
            </w:r>
          </w:p>
        </w:tc>
      </w:tr>
      <w:tr>
        <w:trPr>
          <w:trHeight w:val="222"/>
        </w:trPr>
        <w:tc>
          <w:tcPr>
            <w:tcW w:w="6280" w:type="dxa"/>
            <w:vAlign w:val="bottom"/>
            <w:shd w:val="clear" w:color="auto" w:fill="E0E7ED"/>
          </w:tcPr>
          <w:p>
            <w:pPr>
              <w:ind w:left="20"/>
              <w:spacing w:after="0"/>
              <w:rPr>
                <w:sz w:val="20"/>
                <w:szCs w:val="20"/>
                <w:color w:val="auto"/>
              </w:rPr>
            </w:pPr>
            <w:r>
              <w:rPr>
                <w:rFonts w:ascii="Arial" w:cs="Arial" w:eastAsia="Arial" w:hAnsi="Arial"/>
                <w:sz w:val="14"/>
                <w:szCs w:val="14"/>
                <w:color w:val="auto"/>
              </w:rPr>
              <w:t>Return on average assets (Non-GAAP)</w:t>
            </w:r>
            <w:r>
              <w:rPr>
                <w:rFonts w:ascii="Arial" w:cs="Arial" w:eastAsia="Arial" w:hAnsi="Arial"/>
                <w:sz w:val="18"/>
                <w:szCs w:val="18"/>
                <w:color w:val="auto"/>
                <w:vertAlign w:val="superscript"/>
              </w:rPr>
              <w:t>7</w:t>
            </w:r>
          </w:p>
        </w:tc>
        <w:tc>
          <w:tcPr>
            <w:tcW w:w="2020" w:type="dxa"/>
            <w:vAlign w:val="bottom"/>
            <w:shd w:val="clear" w:color="auto" w:fill="E0E7ED"/>
          </w:tcPr>
          <w:p>
            <w:pPr>
              <w:ind w:left="1260"/>
              <w:spacing w:after="0"/>
              <w:rPr>
                <w:sz w:val="20"/>
                <w:szCs w:val="20"/>
                <w:color w:val="auto"/>
              </w:rPr>
            </w:pPr>
            <w:r>
              <w:rPr>
                <w:rFonts w:ascii="Arial" w:cs="Arial" w:eastAsia="Arial" w:hAnsi="Arial"/>
                <w:sz w:val="14"/>
                <w:szCs w:val="14"/>
                <w:color w:val="auto"/>
              </w:rPr>
              <w:t>[a÷e]</w:t>
            </w:r>
          </w:p>
        </w:tc>
        <w:tc>
          <w:tcPr>
            <w:tcW w:w="32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(0.82)%</w:t>
            </w:r>
          </w:p>
        </w:tc>
        <w:tc>
          <w:tcPr>
            <w:tcW w:w="8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0.88 %</w:t>
            </w:r>
          </w:p>
        </w:tc>
      </w:tr>
      <w:tr>
        <w:trPr>
          <w:trHeight w:val="212"/>
        </w:trPr>
        <w:tc>
          <w:tcPr>
            <w:tcW w:w="6280" w:type="dxa"/>
            <w:vAlign w:val="bottom"/>
          </w:tcPr>
          <w:p>
            <w:pPr>
              <w:ind w:left="20"/>
              <w:spacing w:after="0"/>
              <w:rPr>
                <w:sz w:val="20"/>
                <w:szCs w:val="20"/>
                <w:color w:val="auto"/>
              </w:rPr>
            </w:pPr>
            <w:r>
              <w:rPr>
                <w:rFonts w:ascii="Arial" w:cs="Arial" w:eastAsia="Arial" w:hAnsi="Arial"/>
                <w:sz w:val="14"/>
                <w:szCs w:val="14"/>
                <w:color w:val="auto"/>
              </w:rPr>
              <w:t>Adjusted return on average assets (Non-GAAP)</w:t>
            </w:r>
            <w:r>
              <w:rPr>
                <w:rFonts w:ascii="Arial" w:cs="Arial" w:eastAsia="Arial" w:hAnsi="Arial"/>
                <w:sz w:val="18"/>
                <w:szCs w:val="18"/>
                <w:color w:val="auto"/>
                <w:vertAlign w:val="superscript"/>
              </w:rPr>
              <w:t>5, 7</w:t>
            </w:r>
          </w:p>
        </w:tc>
        <w:tc>
          <w:tcPr>
            <w:tcW w:w="2020" w:type="dxa"/>
            <w:vAlign w:val="bottom"/>
          </w:tcPr>
          <w:p>
            <w:pPr>
              <w:ind w:left="1260"/>
              <w:spacing w:after="0"/>
              <w:rPr>
                <w:sz w:val="20"/>
                <w:szCs w:val="20"/>
                <w:color w:val="auto"/>
              </w:rPr>
            </w:pPr>
            <w:r>
              <w:rPr>
                <w:rFonts w:ascii="Arial" w:cs="Arial" w:eastAsia="Arial" w:hAnsi="Arial"/>
                <w:sz w:val="14"/>
                <w:szCs w:val="14"/>
                <w:color w:val="auto"/>
              </w:rPr>
              <w:t>[b÷e]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0.86 %</w:t>
            </w:r>
          </w:p>
        </w:tc>
      </w:tr>
      <w:tr>
        <w:trPr>
          <w:trHeight w:val="212"/>
        </w:trPr>
        <w:tc>
          <w:tcPr>
            <w:tcW w:w="6280" w:type="dxa"/>
            <w:vAlign w:val="bottom"/>
            <w:shd w:val="clear" w:color="auto" w:fill="E0E7ED"/>
          </w:tcPr>
          <w:p>
            <w:pPr>
              <w:spacing w:after="0"/>
              <w:rPr>
                <w:sz w:val="18"/>
                <w:szCs w:val="18"/>
                <w:color w:val="auto"/>
              </w:rPr>
            </w:pPr>
          </w:p>
        </w:tc>
        <w:tc>
          <w:tcPr>
            <w:tcW w:w="202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r>
      <w:tr>
        <w:trPr>
          <w:trHeight w:val="202"/>
        </w:trPr>
        <w:tc>
          <w:tcPr>
            <w:tcW w:w="6280" w:type="dxa"/>
            <w:vAlign w:val="bottom"/>
          </w:tcPr>
          <w:p>
            <w:pPr>
              <w:ind w:left="20"/>
              <w:spacing w:after="0"/>
              <w:rPr>
                <w:sz w:val="20"/>
                <w:szCs w:val="20"/>
                <w:color w:val="auto"/>
              </w:rPr>
            </w:pPr>
            <w:r>
              <w:rPr>
                <w:rFonts w:ascii="Arial" w:cs="Arial" w:eastAsia="Arial" w:hAnsi="Arial"/>
                <w:sz w:val="14"/>
                <w:szCs w:val="14"/>
                <w:color w:val="auto"/>
              </w:rPr>
              <w:t>Average common equity</w:t>
            </w:r>
          </w:p>
        </w:tc>
        <w:tc>
          <w:tcPr>
            <w:tcW w:w="202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1,932,407</w:t>
            </w:r>
          </w:p>
        </w:tc>
        <w:tc>
          <w:tcPr>
            <w:tcW w:w="8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1,275,724</w:t>
            </w:r>
          </w:p>
        </w:tc>
      </w:tr>
      <w:tr>
        <w:trPr>
          <w:trHeight w:val="213"/>
        </w:trPr>
        <w:tc>
          <w:tcPr>
            <w:tcW w:w="6280" w:type="dxa"/>
            <w:vAlign w:val="bottom"/>
            <w:shd w:val="clear" w:color="auto" w:fill="E0E7ED"/>
          </w:tcPr>
          <w:p>
            <w:pPr>
              <w:ind w:left="140"/>
              <w:spacing w:after="0"/>
              <w:rPr>
                <w:sz w:val="20"/>
                <w:szCs w:val="20"/>
                <w:color w:val="auto"/>
              </w:rPr>
            </w:pPr>
            <w:r>
              <w:rPr>
                <w:rFonts w:ascii="Arial" w:cs="Arial" w:eastAsia="Arial" w:hAnsi="Arial"/>
                <w:sz w:val="14"/>
                <w:szCs w:val="14"/>
                <w:color w:val="auto"/>
              </w:rPr>
              <w:t>Average goodwill and other intangible assets, net</w:t>
            </w:r>
          </w:p>
        </w:tc>
        <w:tc>
          <w:tcPr>
            <w:tcW w:w="202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ind w:right="70"/>
              <w:spacing w:after="0"/>
              <w:rPr>
                <w:sz w:val="20"/>
                <w:szCs w:val="20"/>
                <w:color w:val="auto"/>
              </w:rPr>
            </w:pPr>
            <w:r>
              <w:rPr>
                <w:rFonts w:ascii="Arial" w:cs="Arial" w:eastAsia="Arial" w:hAnsi="Arial"/>
                <w:sz w:val="14"/>
                <w:szCs w:val="14"/>
                <w:color w:val="auto"/>
              </w:rPr>
              <w:t>(411,020)</w:t>
            </w:r>
          </w:p>
        </w:tc>
        <w:tc>
          <w:tcPr>
            <w:tcW w:w="80" w:type="dxa"/>
            <w:vAlign w:val="bottom"/>
            <w:shd w:val="clear" w:color="auto" w:fill="E0E7ED"/>
          </w:tcPr>
          <w:p>
            <w:pPr>
              <w:spacing w:after="0"/>
              <w:rPr>
                <w:sz w:val="18"/>
                <w:szCs w:val="18"/>
                <w:color w:val="auto"/>
              </w:rPr>
            </w:pPr>
          </w:p>
        </w:tc>
        <w:tc>
          <w:tcPr>
            <w:tcW w:w="34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ind w:right="70"/>
              <w:spacing w:after="0"/>
              <w:rPr>
                <w:sz w:val="20"/>
                <w:szCs w:val="20"/>
                <w:color w:val="auto"/>
              </w:rPr>
            </w:pPr>
            <w:r>
              <w:rPr>
                <w:rFonts w:ascii="Arial" w:cs="Arial" w:eastAsia="Arial" w:hAnsi="Arial"/>
                <w:sz w:val="14"/>
                <w:szCs w:val="14"/>
                <w:color w:val="auto"/>
              </w:rPr>
              <w:t>(353,014)</w:t>
            </w:r>
          </w:p>
        </w:tc>
      </w:tr>
      <w:tr>
        <w:trPr>
          <w:trHeight w:val="212"/>
        </w:trPr>
        <w:tc>
          <w:tcPr>
            <w:tcW w:w="6280" w:type="dxa"/>
            <w:vAlign w:val="bottom"/>
          </w:tcPr>
          <w:p>
            <w:pPr>
              <w:ind w:left="20"/>
              <w:spacing w:after="0"/>
              <w:rPr>
                <w:sz w:val="20"/>
                <w:szCs w:val="20"/>
                <w:color w:val="auto"/>
              </w:rPr>
            </w:pPr>
            <w:r>
              <w:rPr>
                <w:rFonts w:ascii="Arial" w:cs="Arial" w:eastAsia="Arial" w:hAnsi="Arial"/>
                <w:sz w:val="14"/>
                <w:szCs w:val="14"/>
                <w:color w:val="auto"/>
              </w:rPr>
              <w:t>Average tangible common equity (Non-GAAP)</w:t>
            </w:r>
          </w:p>
        </w:tc>
        <w:tc>
          <w:tcPr>
            <w:tcW w:w="2020" w:type="dxa"/>
            <w:vAlign w:val="bottom"/>
          </w:tcPr>
          <w:p>
            <w:pPr>
              <w:ind w:left="1260"/>
              <w:spacing w:after="0"/>
              <w:rPr>
                <w:sz w:val="20"/>
                <w:szCs w:val="20"/>
                <w:color w:val="auto"/>
              </w:rPr>
            </w:pPr>
            <w:r>
              <w:rPr>
                <w:rFonts w:ascii="Arial" w:cs="Arial" w:eastAsia="Arial" w:hAnsi="Arial"/>
                <w:sz w:val="14"/>
                <w:szCs w:val="14"/>
                <w:color w:val="auto"/>
              </w:rPr>
              <w:t>[f]</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1,521,387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922,710</w:t>
            </w:r>
          </w:p>
        </w:tc>
      </w:tr>
      <w:tr>
        <w:trPr>
          <w:trHeight w:val="20"/>
        </w:trPr>
        <w:tc>
          <w:tcPr>
            <w:tcW w:w="6280" w:type="dxa"/>
            <w:vAlign w:val="bottom"/>
            <w:tcBorders>
              <w:bottom w:val="single" w:sz="8" w:color="E0E7ED"/>
            </w:tcBorders>
          </w:tcPr>
          <w:p>
            <w:pPr>
              <w:spacing w:after="0" w:line="20" w:lineRule="exact"/>
              <w:rPr>
                <w:sz w:val="1"/>
                <w:szCs w:val="1"/>
                <w:color w:val="auto"/>
              </w:rPr>
            </w:pPr>
          </w:p>
        </w:tc>
        <w:tc>
          <w:tcPr>
            <w:tcW w:w="202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3"/>
        </w:trPr>
        <w:tc>
          <w:tcPr>
            <w:tcW w:w="6280" w:type="dxa"/>
            <w:vAlign w:val="bottom"/>
            <w:shd w:val="clear" w:color="auto" w:fill="E0E7ED"/>
          </w:tcPr>
          <w:p>
            <w:pPr>
              <w:spacing w:after="0"/>
              <w:rPr>
                <w:sz w:val="15"/>
                <w:szCs w:val="15"/>
                <w:color w:val="auto"/>
              </w:rPr>
            </w:pPr>
          </w:p>
        </w:tc>
        <w:tc>
          <w:tcPr>
            <w:tcW w:w="202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20" w:type="dxa"/>
            <w:vAlign w:val="bottom"/>
            <w:shd w:val="clear" w:color="auto" w:fill="E0E7ED"/>
          </w:tcPr>
          <w:p>
            <w:pPr>
              <w:spacing w:after="0"/>
              <w:rPr>
                <w:sz w:val="15"/>
                <w:szCs w:val="15"/>
                <w:color w:val="auto"/>
              </w:rPr>
            </w:pPr>
          </w:p>
        </w:tc>
      </w:tr>
      <w:tr>
        <w:trPr>
          <w:trHeight w:val="212"/>
        </w:trPr>
        <w:tc>
          <w:tcPr>
            <w:tcW w:w="6280" w:type="dxa"/>
            <w:vAlign w:val="bottom"/>
          </w:tcPr>
          <w:p>
            <w:pPr>
              <w:ind w:left="20"/>
              <w:spacing w:after="0"/>
              <w:rPr>
                <w:sz w:val="20"/>
                <w:szCs w:val="20"/>
                <w:color w:val="auto"/>
              </w:rPr>
            </w:pPr>
            <w:r>
              <w:rPr>
                <w:rFonts w:ascii="Arial" w:cs="Arial" w:eastAsia="Arial" w:hAnsi="Arial"/>
                <w:sz w:val="14"/>
                <w:szCs w:val="14"/>
                <w:color w:val="auto"/>
              </w:rPr>
              <w:t>Return on average tangible common equity (Non-GAAP)</w:t>
            </w:r>
            <w:r>
              <w:rPr>
                <w:rFonts w:ascii="Arial" w:cs="Arial" w:eastAsia="Arial" w:hAnsi="Arial"/>
                <w:sz w:val="18"/>
                <w:szCs w:val="18"/>
                <w:color w:val="auto"/>
                <w:vertAlign w:val="superscript"/>
              </w:rPr>
              <w:t>7</w:t>
            </w:r>
          </w:p>
        </w:tc>
        <w:tc>
          <w:tcPr>
            <w:tcW w:w="2020" w:type="dxa"/>
            <w:vAlign w:val="bottom"/>
          </w:tcPr>
          <w:p>
            <w:pPr>
              <w:ind w:left="1260"/>
              <w:spacing w:after="0"/>
              <w:rPr>
                <w:sz w:val="20"/>
                <w:szCs w:val="20"/>
                <w:color w:val="auto"/>
              </w:rPr>
            </w:pPr>
            <w:r>
              <w:rPr>
                <w:rFonts w:ascii="Arial" w:cs="Arial" w:eastAsia="Arial" w:hAnsi="Arial"/>
                <w:sz w:val="14"/>
                <w:szCs w:val="14"/>
                <w:color w:val="auto"/>
              </w:rPr>
              <w:t>[a÷f]</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11.43 %</w:t>
            </w:r>
          </w:p>
        </w:tc>
      </w:tr>
      <w:tr>
        <w:trPr>
          <w:trHeight w:val="212"/>
        </w:trPr>
        <w:tc>
          <w:tcPr>
            <w:tcW w:w="6280" w:type="dxa"/>
            <w:vAlign w:val="bottom"/>
            <w:shd w:val="clear" w:color="auto" w:fill="E0E7ED"/>
          </w:tcPr>
          <w:p>
            <w:pPr>
              <w:ind w:left="20"/>
              <w:spacing w:after="0"/>
              <w:rPr>
                <w:sz w:val="20"/>
                <w:szCs w:val="20"/>
                <w:color w:val="auto"/>
              </w:rPr>
            </w:pPr>
            <w:r>
              <w:rPr>
                <w:rFonts w:ascii="Arial" w:cs="Arial" w:eastAsia="Arial" w:hAnsi="Arial"/>
                <w:sz w:val="14"/>
                <w:szCs w:val="14"/>
                <w:color w:val="auto"/>
              </w:rPr>
              <w:t>Adjusted return on average tangible common equity (Non-GAAP)</w:t>
            </w:r>
            <w:r>
              <w:rPr>
                <w:rFonts w:ascii="Arial" w:cs="Arial" w:eastAsia="Arial" w:hAnsi="Arial"/>
                <w:sz w:val="18"/>
                <w:szCs w:val="18"/>
                <w:color w:val="auto"/>
                <w:vertAlign w:val="superscript"/>
              </w:rPr>
              <w:t>5, 7</w:t>
            </w:r>
          </w:p>
        </w:tc>
        <w:tc>
          <w:tcPr>
            <w:tcW w:w="2020" w:type="dxa"/>
            <w:vAlign w:val="bottom"/>
            <w:shd w:val="clear" w:color="auto" w:fill="E0E7ED"/>
          </w:tcPr>
          <w:p>
            <w:pPr>
              <w:ind w:left="1260"/>
              <w:spacing w:after="0"/>
              <w:rPr>
                <w:sz w:val="20"/>
                <w:szCs w:val="20"/>
                <w:color w:val="auto"/>
              </w:rPr>
            </w:pPr>
            <w:r>
              <w:rPr>
                <w:rFonts w:ascii="Arial" w:cs="Arial" w:eastAsia="Arial" w:hAnsi="Arial"/>
                <w:sz w:val="14"/>
                <w:szCs w:val="14"/>
                <w:color w:val="auto"/>
              </w:rPr>
              <w:t>[b÷f]</w:t>
            </w:r>
          </w:p>
        </w:tc>
        <w:tc>
          <w:tcPr>
            <w:tcW w:w="32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10.64 %</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11.21 %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380" w:hanging="248"/>
        <w:spacing w:after="0" w:line="261" w:lineRule="auto"/>
        <w:tabs>
          <w:tab w:leader="none" w:pos="400"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Day 2 allowance for credit losses was recorded in connection with the CrossFirst acquisition to establish an allowance on non-PCD loans and is reflected within the provision for credit losses line on the Statement of Income.</w:t>
      </w:r>
    </w:p>
    <w:p>
      <w:pPr>
        <w:ind w:left="380" w:hanging="248"/>
        <w:spacing w:after="0" w:line="251" w:lineRule="auto"/>
        <w:tabs>
          <w:tab w:leader="none" w:pos="379"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Day 2 provision for unfunded commitments was recorded in connection with the CrossFirst acquisition and is reflected within the other noninterest expense line, as a component of total noninterest expense, on the Statement of Income.</w:t>
      </w:r>
    </w:p>
    <w:p>
      <w:pPr>
        <w:ind w:left="380" w:hanging="248"/>
        <w:spacing w:after="0"/>
        <w:tabs>
          <w:tab w:leader="none" w:pos="3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Tax benefits were calculated using tax rates of 25.3% and 24.9% for the three months ended March 31, 2025, and March 31, 2024, respectively.</w:t>
      </w:r>
    </w:p>
    <w:p>
      <w:pPr>
        <w:spacing w:after="0" w:line="11" w:lineRule="exact"/>
        <w:rPr>
          <w:rFonts w:ascii="Arial" w:cs="Arial" w:eastAsia="Arial" w:hAnsi="Arial"/>
          <w:sz w:val="11"/>
          <w:szCs w:val="11"/>
          <w:color w:val="auto"/>
        </w:rPr>
      </w:pPr>
    </w:p>
    <w:p>
      <w:pPr>
        <w:ind w:left="380" w:hanging="248"/>
        <w:spacing w:after="0" w:line="251" w:lineRule="auto"/>
        <w:tabs>
          <w:tab w:leader="none" w:pos="379"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deferred tax valuation adjustment was recorded in connection with the CrossFirst acquisition and relates to the expansion of Busey’s footprint into new states. The deferred tax valuation adjustment is reflected within the income taxes line on the Statement of Income.</w:t>
      </w:r>
    </w:p>
    <w:p>
      <w:pPr>
        <w:ind w:left="380" w:hanging="248"/>
        <w:spacing w:after="0" w:line="261" w:lineRule="auto"/>
        <w:tabs>
          <w:tab w:leader="none" w:pos="379" w:val="left"/>
        </w:tabs>
        <w:numPr>
          <w:ilvl w:val="0"/>
          <w:numId w:val="33"/>
        </w:numPr>
        <w:rPr>
          <w:rFonts w:ascii="Arial" w:cs="Arial" w:eastAsia="Arial" w:hAnsi="Arial"/>
          <w:sz w:val="11"/>
          <w:szCs w:val="11"/>
          <w:color w:val="auto"/>
        </w:rPr>
      </w:pPr>
      <w:r>
        <w:rPr>
          <w:rFonts w:ascii="Arial" w:cs="Arial" w:eastAsia="Arial" w:hAnsi="Arial"/>
          <w:sz w:val="11"/>
          <w:szCs w:val="11"/>
          <w:color w:val="auto"/>
        </w:rPr>
        <w:t>Beginning in 2025, Busey revised its calculation of adjusted net income for all periods presented to include, as applicable, adjustments for net securities gains and losses, realized net gains and losses on the sale of mortgage servicing rights, and non-recurring deferred tax valuation adjustments.</w:t>
      </w:r>
    </w:p>
    <w:p>
      <w:pPr>
        <w:ind w:left="380" w:hanging="248"/>
        <w:spacing w:after="0"/>
        <w:tabs>
          <w:tab w:leader="none" w:pos="3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Dilution includes shares that would have been dilutive if there had been net income during the period.</w:t>
      </w:r>
    </w:p>
    <w:p>
      <w:pPr>
        <w:spacing w:after="0" w:line="11" w:lineRule="exact"/>
        <w:rPr>
          <w:rFonts w:ascii="Arial" w:cs="Arial" w:eastAsia="Arial" w:hAnsi="Arial"/>
          <w:sz w:val="11"/>
          <w:szCs w:val="11"/>
          <w:color w:val="auto"/>
        </w:rPr>
      </w:pPr>
    </w:p>
    <w:p>
      <w:pPr>
        <w:ind w:left="400" w:hanging="268"/>
        <w:spacing w:after="0"/>
        <w:tabs>
          <w:tab w:leader="none" w:pos="400" w:val="left"/>
        </w:tabs>
        <w:numPr>
          <w:ilvl w:val="0"/>
          <w:numId w:val="33"/>
        </w:numPr>
        <w:rPr>
          <w:rFonts w:ascii="Arial" w:cs="Arial" w:eastAsia="Arial" w:hAnsi="Arial"/>
          <w:sz w:val="11"/>
          <w:szCs w:val="11"/>
          <w:color w:val="auto"/>
        </w:rPr>
      </w:pPr>
      <w:r>
        <w:rPr>
          <w:rFonts w:ascii="Arial" w:cs="Arial" w:eastAsia="Arial" w:hAnsi="Arial"/>
          <w:sz w:val="11"/>
          <w:szCs w:val="11"/>
          <w:color w:val="auto"/>
        </w:rPr>
        <w:t>Annualized measure.</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90" w:name="page91"/>
    <w:bookmarkEnd w:id="90"/>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NON-GAAP FINANCIAL MEASURES (Unaudited)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Tax-Equivalent Net Interest Income, Adjusted Net Interest Income, Net Interest Margin, and Adjusted Net Interest Margin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8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586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440" w:type="dxa"/>
            <w:vAlign w:val="bottom"/>
            <w:tcBorders>
              <w:bottom w:val="single" w:sz="8" w:color="E0E7ED"/>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2024</w:t>
            </w:r>
          </w:p>
        </w:tc>
      </w:tr>
      <w:tr>
        <w:trPr>
          <w:trHeight w:val="203"/>
        </w:trPr>
        <w:tc>
          <w:tcPr>
            <w:tcW w:w="58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Net interest income (GAAP)</w:t>
            </w:r>
          </w:p>
        </w:tc>
        <w:tc>
          <w:tcPr>
            <w:tcW w:w="2440" w:type="dxa"/>
            <w:vAlign w:val="bottom"/>
            <w:shd w:val="clear" w:color="auto" w:fill="E0E7ED"/>
          </w:tcPr>
          <w:p>
            <w:pPr>
              <w:spacing w:after="0"/>
              <w:rPr>
                <w:sz w:val="17"/>
                <w:szCs w:val="17"/>
                <w:color w:val="auto"/>
              </w:rPr>
            </w:pPr>
          </w:p>
        </w:tc>
        <w:tc>
          <w:tcPr>
            <w:tcW w:w="32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E0E7ED"/>
          </w:tcPr>
          <w:p>
            <w:pPr>
              <w:jc w:val="right"/>
              <w:ind w:right="112"/>
              <w:spacing w:after="0"/>
              <w:rPr>
                <w:sz w:val="20"/>
                <w:szCs w:val="20"/>
                <w:color w:val="auto"/>
              </w:rPr>
            </w:pPr>
            <w:r>
              <w:rPr>
                <w:rFonts w:ascii="Arial" w:cs="Arial" w:eastAsia="Arial" w:hAnsi="Arial"/>
                <w:sz w:val="14"/>
                <w:szCs w:val="14"/>
                <w:color w:val="auto"/>
              </w:rPr>
              <w:t>103,731</w:t>
            </w:r>
          </w:p>
        </w:tc>
        <w:tc>
          <w:tcPr>
            <w:tcW w:w="80" w:type="dxa"/>
            <w:vAlign w:val="bottom"/>
            <w:shd w:val="clear" w:color="auto" w:fill="E0E7ED"/>
          </w:tcPr>
          <w:p>
            <w:pPr>
              <w:spacing w:after="0"/>
              <w:rPr>
                <w:sz w:val="17"/>
                <w:szCs w:val="17"/>
                <w:color w:val="auto"/>
              </w:rPr>
            </w:pP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75,854</w:t>
            </w:r>
          </w:p>
        </w:tc>
      </w:tr>
      <w:tr>
        <w:trPr>
          <w:trHeight w:val="212"/>
        </w:trPr>
        <w:tc>
          <w:tcPr>
            <w:tcW w:w="58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Tax-equivalent adjustment</w:t>
            </w:r>
            <w:r>
              <w:rPr>
                <w:rFonts w:ascii="Arial" w:cs="Arial" w:eastAsia="Arial" w:hAnsi="Arial"/>
                <w:sz w:val="18"/>
                <w:szCs w:val="18"/>
                <w:color w:val="auto"/>
                <w:vertAlign w:val="superscript"/>
              </w:rPr>
              <w:t>1</w:t>
            </w:r>
          </w:p>
        </w:tc>
        <w:tc>
          <w:tcPr>
            <w:tcW w:w="2440" w:type="dxa"/>
            <w:vAlign w:val="bottom"/>
            <w:tcBorders>
              <w:bottom w:val="single" w:sz="8" w:color="E0E7ED"/>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537</w:t>
            </w:r>
          </w:p>
        </w:tc>
        <w:tc>
          <w:tcPr>
            <w:tcW w:w="80" w:type="dxa"/>
            <w:vAlign w:val="bottom"/>
            <w:tcBorders>
              <w:bottom w:val="single" w:sz="8" w:color="E0E7ED"/>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449</w:t>
            </w:r>
          </w:p>
        </w:tc>
      </w:tr>
      <w:tr>
        <w:trPr>
          <w:trHeight w:val="203"/>
        </w:trPr>
        <w:tc>
          <w:tcPr>
            <w:tcW w:w="5860" w:type="dxa"/>
            <w:vAlign w:val="bottom"/>
            <w:shd w:val="clear" w:color="auto" w:fill="E0E7ED"/>
          </w:tcPr>
          <w:p>
            <w:pPr>
              <w:ind w:left="20"/>
              <w:spacing w:after="0"/>
              <w:rPr>
                <w:sz w:val="20"/>
                <w:szCs w:val="20"/>
                <w:color w:val="auto"/>
              </w:rPr>
            </w:pPr>
            <w:r>
              <w:rPr>
                <w:rFonts w:ascii="Arial" w:cs="Arial" w:eastAsia="Arial" w:hAnsi="Arial"/>
                <w:sz w:val="14"/>
                <w:szCs w:val="14"/>
                <w:color w:val="auto"/>
              </w:rPr>
              <w:t>Tax-equivalent net interest income (Non-GAAP)</w:t>
            </w:r>
          </w:p>
        </w:tc>
        <w:tc>
          <w:tcPr>
            <w:tcW w:w="2440" w:type="dxa"/>
            <w:vAlign w:val="bottom"/>
            <w:shd w:val="clear" w:color="auto" w:fill="E0E7ED"/>
          </w:tcPr>
          <w:p>
            <w:pPr>
              <w:ind w:left="1680"/>
              <w:spacing w:after="0"/>
              <w:rPr>
                <w:sz w:val="20"/>
                <w:szCs w:val="20"/>
                <w:color w:val="auto"/>
              </w:rPr>
            </w:pPr>
            <w:r>
              <w:rPr>
                <w:rFonts w:ascii="Arial" w:cs="Arial" w:eastAsia="Arial" w:hAnsi="Arial"/>
                <w:sz w:val="14"/>
                <w:szCs w:val="14"/>
                <w:color w:val="auto"/>
              </w:rPr>
              <w:t>[a]</w:t>
            </w:r>
          </w:p>
        </w:tc>
        <w:tc>
          <w:tcPr>
            <w:tcW w:w="320" w:type="dxa"/>
            <w:vAlign w:val="bottom"/>
            <w:shd w:val="clear" w:color="auto" w:fill="E0E7ED"/>
          </w:tcPr>
          <w:p>
            <w:pPr>
              <w:spacing w:after="0"/>
              <w:rPr>
                <w:sz w:val="17"/>
                <w:szCs w:val="17"/>
                <w:color w:val="auto"/>
              </w:rPr>
            </w:pPr>
          </w:p>
        </w:tc>
        <w:tc>
          <w:tcPr>
            <w:tcW w:w="1120" w:type="dxa"/>
            <w:vAlign w:val="bottom"/>
            <w:shd w:val="clear" w:color="auto" w:fill="E0E7ED"/>
          </w:tcPr>
          <w:p>
            <w:pPr>
              <w:jc w:val="right"/>
              <w:ind w:right="112"/>
              <w:spacing w:after="0"/>
              <w:rPr>
                <w:sz w:val="20"/>
                <w:szCs w:val="20"/>
                <w:color w:val="auto"/>
              </w:rPr>
            </w:pPr>
            <w:r>
              <w:rPr>
                <w:rFonts w:ascii="Arial" w:cs="Arial" w:eastAsia="Arial" w:hAnsi="Arial"/>
                <w:sz w:val="14"/>
                <w:szCs w:val="14"/>
                <w:color w:val="auto"/>
              </w:rPr>
              <w:t>104,268</w:t>
            </w:r>
          </w:p>
        </w:tc>
        <w:tc>
          <w:tcPr>
            <w:tcW w:w="80" w:type="dxa"/>
            <w:vAlign w:val="bottom"/>
            <w:shd w:val="clear" w:color="auto" w:fill="E0E7ED"/>
          </w:tcPr>
          <w:p>
            <w:pPr>
              <w:spacing w:after="0"/>
              <w:rPr>
                <w:sz w:val="17"/>
                <w:szCs w:val="17"/>
                <w:color w:val="auto"/>
              </w:rPr>
            </w:pPr>
          </w:p>
        </w:tc>
        <w:tc>
          <w:tcPr>
            <w:tcW w:w="340" w:type="dxa"/>
            <w:vAlign w:val="bottom"/>
            <w:shd w:val="clear" w:color="auto" w:fill="E0E7ED"/>
          </w:tcPr>
          <w:p>
            <w:pPr>
              <w:spacing w:after="0"/>
              <w:rPr>
                <w:sz w:val="17"/>
                <w:szCs w:val="17"/>
                <w:color w:val="auto"/>
              </w:rPr>
            </w:pPr>
          </w:p>
        </w:tc>
        <w:tc>
          <w:tcPr>
            <w:tcW w:w="11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76,303</w:t>
            </w:r>
          </w:p>
        </w:tc>
      </w:tr>
      <w:tr>
        <w:trPr>
          <w:trHeight w:val="203"/>
        </w:trPr>
        <w:tc>
          <w:tcPr>
            <w:tcW w:w="586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Purchase accounting accretion related to business combinations</w:t>
            </w:r>
          </w:p>
        </w:tc>
        <w:tc>
          <w:tcPr>
            <w:tcW w:w="244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(2,728)</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(204)</w:t>
            </w:r>
          </w:p>
        </w:tc>
      </w:tr>
      <w:tr>
        <w:trPr>
          <w:trHeight w:val="237"/>
        </w:trPr>
        <w:tc>
          <w:tcPr>
            <w:tcW w:w="58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Adjusted net interest income (Non-GAAP)</w:t>
            </w:r>
          </w:p>
        </w:tc>
        <w:tc>
          <w:tcPr>
            <w:tcW w:w="2440" w:type="dxa"/>
            <w:vAlign w:val="bottom"/>
            <w:tcBorders>
              <w:bottom w:val="single" w:sz="8" w:color="E0E7ED"/>
            </w:tcBorders>
            <w:shd w:val="clear" w:color="auto" w:fill="E0E7ED"/>
          </w:tcPr>
          <w:p>
            <w:pPr>
              <w:ind w:left="1680"/>
              <w:spacing w:after="0"/>
              <w:rPr>
                <w:sz w:val="20"/>
                <w:szCs w:val="20"/>
                <w:color w:val="auto"/>
              </w:rPr>
            </w:pPr>
            <w:r>
              <w:rPr>
                <w:rFonts w:ascii="Arial" w:cs="Arial" w:eastAsia="Arial" w:hAnsi="Arial"/>
                <w:sz w:val="14"/>
                <w:szCs w:val="14"/>
                <w:color w:val="auto"/>
              </w:rPr>
              <w:t>[b]</w:t>
            </w:r>
          </w:p>
        </w:tc>
        <w:tc>
          <w:tcPr>
            <w:tcW w:w="320" w:type="dxa"/>
            <w:vAlign w:val="bottom"/>
            <w:tcBorders>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E0E7ED"/>
          </w:tcPr>
          <w:p>
            <w:pPr>
              <w:jc w:val="right"/>
              <w:ind w:right="112"/>
              <w:spacing w:after="0"/>
              <w:rPr>
                <w:sz w:val="20"/>
                <w:szCs w:val="20"/>
                <w:color w:val="auto"/>
              </w:rPr>
            </w:pPr>
            <w:r>
              <w:rPr>
                <w:rFonts w:ascii="Arial" w:cs="Arial" w:eastAsia="Arial" w:hAnsi="Arial"/>
                <w:sz w:val="14"/>
                <w:szCs w:val="14"/>
                <w:color w:val="auto"/>
              </w:rPr>
              <w:t>101,540</w:t>
            </w:r>
          </w:p>
        </w:tc>
        <w:tc>
          <w:tcPr>
            <w:tcW w:w="80" w:type="dxa"/>
            <w:vAlign w:val="bottom"/>
            <w:tcBorders>
              <w:bottom w:val="single" w:sz="8" w:color="E0E7ED"/>
            </w:tcBorders>
            <w:shd w:val="clear" w:color="auto" w:fill="E0E7ED"/>
          </w:tcPr>
          <w:p>
            <w:pPr>
              <w:spacing w:after="0"/>
              <w:rPr>
                <w:sz w:val="20"/>
                <w:szCs w:val="20"/>
                <w:color w:val="auto"/>
              </w:rPr>
            </w:pPr>
          </w:p>
        </w:tc>
        <w:tc>
          <w:tcPr>
            <w:tcW w:w="340" w:type="dxa"/>
            <w:vAlign w:val="bottom"/>
            <w:tcBorders>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0E7ED"/>
          </w:tcPr>
          <w:p>
            <w:pPr>
              <w:jc w:val="right"/>
              <w:ind w:right="111"/>
              <w:spacing w:after="0"/>
              <w:rPr>
                <w:sz w:val="20"/>
                <w:szCs w:val="20"/>
                <w:color w:val="auto"/>
              </w:rPr>
            </w:pPr>
            <w:r>
              <w:rPr>
                <w:rFonts w:ascii="Arial" w:cs="Arial" w:eastAsia="Arial" w:hAnsi="Arial"/>
                <w:sz w:val="14"/>
                <w:szCs w:val="14"/>
                <w:color w:val="auto"/>
              </w:rPr>
              <w:t>76,099</w:t>
            </w:r>
          </w:p>
        </w:tc>
      </w:tr>
      <w:tr>
        <w:trPr>
          <w:trHeight w:val="20"/>
        </w:trPr>
        <w:tc>
          <w:tcPr>
            <w:tcW w:w="5860" w:type="dxa"/>
            <w:vAlign w:val="bottom"/>
            <w:tcBorders>
              <w:top w:val="single" w:sz="8" w:color="E0E7ED"/>
            </w:tcBorders>
          </w:tcPr>
          <w:p>
            <w:pPr>
              <w:spacing w:after="0" w:line="20" w:lineRule="exact"/>
              <w:rPr>
                <w:sz w:val="1"/>
                <w:szCs w:val="1"/>
                <w:color w:val="auto"/>
              </w:rPr>
            </w:pPr>
          </w:p>
        </w:tc>
        <w:tc>
          <w:tcPr>
            <w:tcW w:w="244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58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2"/>
        </w:trPr>
        <w:tc>
          <w:tcPr>
            <w:tcW w:w="5860" w:type="dxa"/>
            <w:vAlign w:val="bottom"/>
            <w:shd w:val="clear" w:color="auto" w:fill="E0E7ED"/>
          </w:tcPr>
          <w:p>
            <w:pPr>
              <w:ind w:left="20"/>
              <w:spacing w:after="0"/>
              <w:rPr>
                <w:sz w:val="20"/>
                <w:szCs w:val="20"/>
                <w:color w:val="auto"/>
              </w:rPr>
            </w:pPr>
            <w:r>
              <w:rPr>
                <w:rFonts w:ascii="Arial" w:cs="Arial" w:eastAsia="Arial" w:hAnsi="Arial"/>
                <w:sz w:val="14"/>
                <w:szCs w:val="14"/>
                <w:color w:val="auto"/>
              </w:rPr>
              <w:t>Average interest-earning assets (Non-GAAP)</w:t>
            </w:r>
          </w:p>
        </w:tc>
        <w:tc>
          <w:tcPr>
            <w:tcW w:w="2440" w:type="dxa"/>
            <w:vAlign w:val="bottom"/>
            <w:shd w:val="clear" w:color="auto" w:fill="E0E7ED"/>
          </w:tcPr>
          <w:p>
            <w:pPr>
              <w:ind w:left="1680"/>
              <w:spacing w:after="0"/>
              <w:rPr>
                <w:sz w:val="20"/>
                <w:szCs w:val="20"/>
                <w:color w:val="auto"/>
              </w:rPr>
            </w:pPr>
            <w:r>
              <w:rPr>
                <w:rFonts w:ascii="Arial" w:cs="Arial" w:eastAsia="Arial" w:hAnsi="Arial"/>
                <w:sz w:val="14"/>
                <w:szCs w:val="14"/>
                <w:color w:val="auto"/>
              </w:rPr>
              <w:t>[c]</w:t>
            </w:r>
          </w:p>
        </w:tc>
        <w:tc>
          <w:tcPr>
            <w:tcW w:w="320" w:type="dxa"/>
            <w:vAlign w:val="bottom"/>
            <w:shd w:val="clear" w:color="auto" w:fill="E0E7ED"/>
          </w:tcPr>
          <w:p>
            <w:pPr>
              <w:spacing w:after="0"/>
              <w:rPr>
                <w:sz w:val="18"/>
                <w:szCs w:val="18"/>
                <w:color w:val="auto"/>
              </w:rPr>
            </w:pPr>
          </w:p>
        </w:tc>
        <w:tc>
          <w:tcPr>
            <w:tcW w:w="1120" w:type="dxa"/>
            <w:vAlign w:val="bottom"/>
            <w:shd w:val="clear" w:color="auto" w:fill="E0E7ED"/>
          </w:tcPr>
          <w:p>
            <w:pPr>
              <w:jc w:val="right"/>
              <w:ind w:right="112"/>
              <w:spacing w:after="0"/>
              <w:rPr>
                <w:sz w:val="20"/>
                <w:szCs w:val="20"/>
                <w:color w:val="auto"/>
              </w:rPr>
            </w:pPr>
            <w:r>
              <w:rPr>
                <w:rFonts w:ascii="Arial" w:cs="Arial" w:eastAsia="Arial" w:hAnsi="Arial"/>
                <w:sz w:val="14"/>
                <w:szCs w:val="14"/>
                <w:color w:val="auto"/>
              </w:rPr>
              <w:t>13,363,594</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2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11,005,903</w:t>
            </w:r>
          </w:p>
        </w:tc>
      </w:tr>
      <w:tr>
        <w:trPr>
          <w:trHeight w:val="212"/>
        </w:trPr>
        <w:tc>
          <w:tcPr>
            <w:tcW w:w="5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5860" w:type="dxa"/>
            <w:vAlign w:val="bottom"/>
            <w:shd w:val="clear" w:color="auto" w:fill="E0E7ED"/>
          </w:tcPr>
          <w:p>
            <w:pPr>
              <w:ind w:left="20"/>
              <w:spacing w:after="0"/>
              <w:rPr>
                <w:sz w:val="20"/>
                <w:szCs w:val="20"/>
                <w:color w:val="auto"/>
              </w:rPr>
            </w:pPr>
            <w:r>
              <w:rPr>
                <w:rFonts w:ascii="Arial" w:cs="Arial" w:eastAsia="Arial" w:hAnsi="Arial"/>
                <w:sz w:val="14"/>
                <w:szCs w:val="14"/>
                <w:color w:val="auto"/>
              </w:rPr>
              <w:t>Net interest margin (Non-GAAP)</w:t>
            </w:r>
            <w:r>
              <w:rPr>
                <w:rFonts w:ascii="Arial" w:cs="Arial" w:eastAsia="Arial" w:hAnsi="Arial"/>
                <w:sz w:val="18"/>
                <w:szCs w:val="18"/>
                <w:color w:val="auto"/>
                <w:vertAlign w:val="superscript"/>
              </w:rPr>
              <w:t>2</w:t>
            </w:r>
          </w:p>
        </w:tc>
        <w:tc>
          <w:tcPr>
            <w:tcW w:w="2440" w:type="dxa"/>
            <w:vAlign w:val="bottom"/>
            <w:shd w:val="clear" w:color="auto" w:fill="E0E7ED"/>
          </w:tcPr>
          <w:p>
            <w:pPr>
              <w:ind w:left="1680"/>
              <w:spacing w:after="0"/>
              <w:rPr>
                <w:sz w:val="20"/>
                <w:szCs w:val="20"/>
                <w:color w:val="auto"/>
              </w:rPr>
            </w:pPr>
            <w:r>
              <w:rPr>
                <w:rFonts w:ascii="Arial" w:cs="Arial" w:eastAsia="Arial" w:hAnsi="Arial"/>
                <w:sz w:val="14"/>
                <w:szCs w:val="14"/>
                <w:color w:val="auto"/>
              </w:rPr>
              <w:t>[a÷c]</w:t>
            </w:r>
          </w:p>
        </w:tc>
        <w:tc>
          <w:tcPr>
            <w:tcW w:w="32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3.16 %</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2.79 %</w:t>
            </w:r>
          </w:p>
        </w:tc>
      </w:tr>
      <w:tr>
        <w:trPr>
          <w:trHeight w:val="259"/>
        </w:trPr>
        <w:tc>
          <w:tcPr>
            <w:tcW w:w="5860" w:type="dxa"/>
            <w:vAlign w:val="bottom"/>
          </w:tcPr>
          <w:p>
            <w:pPr>
              <w:ind w:left="20"/>
              <w:spacing w:after="0"/>
              <w:rPr>
                <w:sz w:val="20"/>
                <w:szCs w:val="20"/>
                <w:color w:val="auto"/>
              </w:rPr>
            </w:pPr>
            <w:r>
              <w:rPr>
                <w:rFonts w:ascii="Arial" w:cs="Arial" w:eastAsia="Arial" w:hAnsi="Arial"/>
                <w:sz w:val="14"/>
                <w:szCs w:val="14"/>
                <w:color w:val="auto"/>
              </w:rPr>
              <w:t>Adjusted net interest margin (Non-GAAP)</w:t>
            </w:r>
            <w:r>
              <w:rPr>
                <w:rFonts w:ascii="Arial" w:cs="Arial" w:eastAsia="Arial" w:hAnsi="Arial"/>
                <w:sz w:val="18"/>
                <w:szCs w:val="18"/>
                <w:color w:val="auto"/>
                <w:vertAlign w:val="superscript"/>
              </w:rPr>
              <w:t>2</w:t>
            </w:r>
          </w:p>
        </w:tc>
        <w:tc>
          <w:tcPr>
            <w:tcW w:w="2440" w:type="dxa"/>
            <w:vAlign w:val="bottom"/>
          </w:tcPr>
          <w:p>
            <w:pPr>
              <w:ind w:left="1680"/>
              <w:spacing w:after="0"/>
              <w:rPr>
                <w:sz w:val="20"/>
                <w:szCs w:val="20"/>
                <w:color w:val="auto"/>
              </w:rPr>
            </w:pPr>
            <w:r>
              <w:rPr>
                <w:rFonts w:ascii="Arial" w:cs="Arial" w:eastAsia="Arial" w:hAnsi="Arial"/>
                <w:sz w:val="14"/>
                <w:szCs w:val="14"/>
                <w:color w:val="auto"/>
              </w:rPr>
              <w:t>[b÷c]</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3.08 %</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2.78 %</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Tax-equivalent adjustments were calculated using an estimated federal income tax rate of 21.0%, applied to non-taxable interest income on investments and loans.</w:t>
      </w:r>
    </w:p>
    <w:p>
      <w:pPr>
        <w:spacing w:after="0" w:line="11" w:lineRule="exact"/>
        <w:rPr>
          <w:rFonts w:ascii="Arial" w:cs="Arial" w:eastAsia="Arial" w:hAnsi="Arial"/>
          <w:sz w:val="11"/>
          <w:szCs w:val="11"/>
          <w:color w:val="auto"/>
        </w:rPr>
      </w:pPr>
    </w:p>
    <w:p>
      <w:pPr>
        <w:ind w:left="380" w:hanging="248"/>
        <w:spacing w:after="0"/>
        <w:tabs>
          <w:tab w:leader="none" w:pos="38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Annualized measure.</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91" w:name="page92"/>
    <w:bookmarkEnd w:id="91"/>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NON-GAAP FINANCIAL MEASURES (Unaudited)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Adjusted Noninterest Income, Revenue Measures, Adjusted Noninterest Expense, Efficiency Ratios, and Adjusted Noninterest Expense to Average Assets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1"/>
                <w:szCs w:val="11"/>
                <w:b w:val="1"/>
                <w:bCs w:val="1"/>
                <w:color w:val="auto"/>
              </w:rPr>
              <w:t>Three Months Ended March 31,</w:t>
            </w:r>
          </w:p>
        </w:tc>
      </w:tr>
      <w:tr>
        <w:trPr>
          <w:trHeight w:val="139"/>
        </w:trPr>
        <w:tc>
          <w:tcPr>
            <w:tcW w:w="6100" w:type="dxa"/>
            <w:vAlign w:val="bottom"/>
            <w:tcBorders>
              <w:bottom w:val="single" w:sz="8" w:color="E0E7ED"/>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120" w:type="dxa"/>
            <w:vAlign w:val="bottom"/>
            <w:tcBorders>
              <w:bottom w:val="single" w:sz="8" w:color="E0E7ED"/>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2024</w:t>
            </w:r>
          </w:p>
        </w:tc>
      </w:tr>
      <w:tr>
        <w:trPr>
          <w:trHeight w:val="203"/>
        </w:trPr>
        <w:tc>
          <w:tcPr>
            <w:tcW w:w="61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Net interest income (GAAP)</w:t>
            </w:r>
          </w:p>
        </w:tc>
        <w:tc>
          <w:tcPr>
            <w:tcW w:w="2120" w:type="dxa"/>
            <w:vAlign w:val="bottom"/>
            <w:shd w:val="clear" w:color="auto" w:fill="E0E7ED"/>
          </w:tcPr>
          <w:p>
            <w:pPr>
              <w:ind w:left="1140"/>
              <w:spacing w:after="0"/>
              <w:rPr>
                <w:sz w:val="20"/>
                <w:szCs w:val="20"/>
                <w:color w:val="auto"/>
              </w:rPr>
            </w:pPr>
            <w:r>
              <w:rPr>
                <w:rFonts w:ascii="Arial" w:cs="Arial" w:eastAsia="Arial" w:hAnsi="Arial"/>
                <w:sz w:val="14"/>
                <w:szCs w:val="14"/>
                <w:color w:val="auto"/>
              </w:rPr>
              <w:t>[a]</w:t>
            </w: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7ED"/>
          </w:tcPr>
          <w:p>
            <w:pPr>
              <w:jc w:val="right"/>
              <w:ind w:right="130"/>
              <w:spacing w:after="0"/>
              <w:rPr>
                <w:sz w:val="20"/>
                <w:szCs w:val="20"/>
                <w:color w:val="auto"/>
              </w:rPr>
            </w:pPr>
            <w:r>
              <w:rPr>
                <w:rFonts w:ascii="Arial" w:cs="Arial" w:eastAsia="Arial" w:hAnsi="Arial"/>
                <w:sz w:val="14"/>
                <w:szCs w:val="14"/>
                <w:color w:val="auto"/>
              </w:rPr>
              <w:t>103,731</w:t>
            </w:r>
          </w:p>
        </w:tc>
        <w:tc>
          <w:tcPr>
            <w:tcW w:w="80" w:type="dxa"/>
            <w:vAlign w:val="bottom"/>
            <w:shd w:val="clear" w:color="auto" w:fill="E0E7ED"/>
          </w:tcPr>
          <w:p>
            <w:pPr>
              <w:spacing w:after="0"/>
              <w:rPr>
                <w:sz w:val="17"/>
                <w:szCs w:val="17"/>
                <w:color w:val="auto"/>
              </w:rPr>
            </w:pP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75,854</w:t>
            </w:r>
          </w:p>
        </w:tc>
      </w:tr>
      <w:tr>
        <w:trPr>
          <w:trHeight w:val="212"/>
        </w:trPr>
        <w:tc>
          <w:tcPr>
            <w:tcW w:w="610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Tax-equivalent adjustment</w:t>
            </w:r>
            <w:r>
              <w:rPr>
                <w:rFonts w:ascii="Arial" w:cs="Arial" w:eastAsia="Arial" w:hAnsi="Arial"/>
                <w:sz w:val="18"/>
                <w:szCs w:val="18"/>
                <w:color w:val="auto"/>
                <w:vertAlign w:val="superscript"/>
              </w:rPr>
              <w:t>1</w:t>
            </w:r>
          </w:p>
        </w:tc>
        <w:tc>
          <w:tcPr>
            <w:tcW w:w="2120" w:type="dxa"/>
            <w:vAlign w:val="bottom"/>
            <w:tcBorders>
              <w:bottom w:val="single" w:sz="8" w:color="E0E7ED"/>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537</w:t>
            </w:r>
          </w:p>
        </w:tc>
        <w:tc>
          <w:tcPr>
            <w:tcW w:w="80" w:type="dxa"/>
            <w:vAlign w:val="bottom"/>
            <w:tcBorders>
              <w:bottom w:val="single" w:sz="8" w:color="E0E7ED"/>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449</w:t>
            </w:r>
          </w:p>
        </w:tc>
      </w:tr>
      <w:tr>
        <w:trPr>
          <w:trHeight w:val="228"/>
        </w:trPr>
        <w:tc>
          <w:tcPr>
            <w:tcW w:w="61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Tax-equivalent net interest income (Non-GAAP)</w:t>
            </w:r>
          </w:p>
        </w:tc>
        <w:tc>
          <w:tcPr>
            <w:tcW w:w="2120" w:type="dxa"/>
            <w:vAlign w:val="bottom"/>
            <w:tcBorders>
              <w:bottom w:val="single" w:sz="8" w:color="E0E7ED"/>
            </w:tcBorders>
            <w:shd w:val="clear" w:color="auto" w:fill="E0E7ED"/>
          </w:tcPr>
          <w:p>
            <w:pPr>
              <w:ind w:left="1140"/>
              <w:spacing w:after="0"/>
              <w:rPr>
                <w:sz w:val="20"/>
                <w:szCs w:val="20"/>
                <w:color w:val="auto"/>
              </w:rPr>
            </w:pPr>
            <w:r>
              <w:rPr>
                <w:rFonts w:ascii="Arial" w:cs="Arial" w:eastAsia="Arial" w:hAnsi="Arial"/>
                <w:sz w:val="14"/>
                <w:szCs w:val="14"/>
                <w:color w:val="auto"/>
              </w:rPr>
              <w:t>[b]</w:t>
            </w:r>
          </w:p>
        </w:tc>
        <w:tc>
          <w:tcPr>
            <w:tcW w:w="340" w:type="dxa"/>
            <w:vAlign w:val="bottom"/>
            <w:tcBorders>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0E7ED"/>
          </w:tcPr>
          <w:p>
            <w:pPr>
              <w:jc w:val="right"/>
              <w:ind w:right="130"/>
              <w:spacing w:after="0"/>
              <w:rPr>
                <w:sz w:val="20"/>
                <w:szCs w:val="20"/>
                <w:color w:val="auto"/>
              </w:rPr>
            </w:pPr>
            <w:r>
              <w:rPr>
                <w:rFonts w:ascii="Arial" w:cs="Arial" w:eastAsia="Arial" w:hAnsi="Arial"/>
                <w:sz w:val="14"/>
                <w:szCs w:val="14"/>
                <w:color w:val="auto"/>
              </w:rPr>
              <w:t>104,268</w:t>
            </w:r>
          </w:p>
        </w:tc>
        <w:tc>
          <w:tcPr>
            <w:tcW w:w="80" w:type="dxa"/>
            <w:vAlign w:val="bottom"/>
            <w:tcBorders>
              <w:bottom w:val="single" w:sz="8" w:color="E0E7ED"/>
            </w:tcBorders>
            <w:shd w:val="clear" w:color="auto" w:fill="E0E7ED"/>
          </w:tcPr>
          <w:p>
            <w:pPr>
              <w:spacing w:after="0"/>
              <w:rPr>
                <w:sz w:val="19"/>
                <w:szCs w:val="19"/>
                <w:color w:val="auto"/>
              </w:rPr>
            </w:pPr>
          </w:p>
        </w:tc>
        <w:tc>
          <w:tcPr>
            <w:tcW w:w="340" w:type="dxa"/>
            <w:vAlign w:val="bottom"/>
            <w:tcBorders>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4"/>
                <w:szCs w:val="14"/>
                <w:color w:val="auto"/>
              </w:rPr>
              <w:t>76,303</w:t>
            </w:r>
          </w:p>
        </w:tc>
      </w:tr>
      <w:tr>
        <w:trPr>
          <w:trHeight w:val="20"/>
        </w:trPr>
        <w:tc>
          <w:tcPr>
            <w:tcW w:w="6100" w:type="dxa"/>
            <w:vAlign w:val="bottom"/>
            <w:tcBorders>
              <w:top w:val="single" w:sz="8" w:color="E0E7ED"/>
            </w:tcBorders>
          </w:tcPr>
          <w:p>
            <w:pPr>
              <w:spacing w:after="0" w:line="20" w:lineRule="exact"/>
              <w:rPr>
                <w:sz w:val="1"/>
                <w:szCs w:val="1"/>
                <w:color w:val="auto"/>
              </w:rPr>
            </w:pPr>
          </w:p>
        </w:tc>
        <w:tc>
          <w:tcPr>
            <w:tcW w:w="212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6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2"/>
        </w:trPr>
        <w:tc>
          <w:tcPr>
            <w:tcW w:w="61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Total noninterest income (GAAP)</w:t>
            </w:r>
          </w:p>
        </w:tc>
        <w:tc>
          <w:tcPr>
            <w:tcW w:w="2120" w:type="dxa"/>
            <w:vAlign w:val="bottom"/>
            <w:shd w:val="clear" w:color="auto" w:fill="E0E7ED"/>
          </w:tcPr>
          <w:p>
            <w:pPr>
              <w:spacing w:after="0"/>
              <w:rPr>
                <w:sz w:val="18"/>
                <w:szCs w:val="18"/>
                <w:color w:val="auto"/>
              </w:rPr>
            </w:pP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7ED"/>
          </w:tcPr>
          <w:p>
            <w:pPr>
              <w:jc w:val="right"/>
              <w:ind w:right="130"/>
              <w:spacing w:after="0"/>
              <w:rPr>
                <w:sz w:val="20"/>
                <w:szCs w:val="20"/>
                <w:color w:val="auto"/>
              </w:rPr>
            </w:pPr>
            <w:r>
              <w:rPr>
                <w:rFonts w:ascii="Arial" w:cs="Arial" w:eastAsia="Arial" w:hAnsi="Arial"/>
                <w:sz w:val="14"/>
                <w:szCs w:val="14"/>
                <w:color w:val="auto"/>
              </w:rPr>
              <w:t>21,223</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34,913</w:t>
            </w:r>
          </w:p>
        </w:tc>
      </w:tr>
      <w:tr>
        <w:trPr>
          <w:trHeight w:val="203"/>
        </w:trPr>
        <w:tc>
          <w:tcPr>
            <w:tcW w:w="610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Net security (gains) losses</w:t>
            </w:r>
          </w:p>
        </w:tc>
        <w:tc>
          <w:tcPr>
            <w:tcW w:w="212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15,768</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6,375</w:t>
            </w:r>
          </w:p>
        </w:tc>
      </w:tr>
      <w:tr>
        <w:trPr>
          <w:trHeight w:val="212"/>
        </w:trPr>
        <w:tc>
          <w:tcPr>
            <w:tcW w:w="61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Noninterest income excluding net securities gains and losses (Non-GAAP)</w:t>
            </w:r>
          </w:p>
        </w:tc>
        <w:tc>
          <w:tcPr>
            <w:tcW w:w="2120" w:type="dxa"/>
            <w:vAlign w:val="bottom"/>
            <w:shd w:val="clear" w:color="auto" w:fill="E0E7ED"/>
          </w:tcPr>
          <w:p>
            <w:pPr>
              <w:ind w:left="1140"/>
              <w:spacing w:after="0"/>
              <w:rPr>
                <w:sz w:val="20"/>
                <w:szCs w:val="20"/>
                <w:color w:val="auto"/>
              </w:rPr>
            </w:pPr>
            <w:r>
              <w:rPr>
                <w:rFonts w:ascii="Arial" w:cs="Arial" w:eastAsia="Arial" w:hAnsi="Arial"/>
                <w:sz w:val="14"/>
                <w:szCs w:val="14"/>
                <w:color w:val="auto"/>
              </w:rPr>
              <w:t>[c]</w:t>
            </w:r>
          </w:p>
        </w:tc>
        <w:tc>
          <w:tcPr>
            <w:tcW w:w="340" w:type="dxa"/>
            <w:vAlign w:val="bottom"/>
            <w:shd w:val="clear" w:color="auto" w:fill="E0E7ED"/>
          </w:tcPr>
          <w:p>
            <w:pPr>
              <w:spacing w:after="0"/>
              <w:rPr>
                <w:sz w:val="18"/>
                <w:szCs w:val="18"/>
                <w:color w:val="auto"/>
              </w:rPr>
            </w:pPr>
          </w:p>
        </w:tc>
        <w:tc>
          <w:tcPr>
            <w:tcW w:w="1160" w:type="dxa"/>
            <w:vAlign w:val="bottom"/>
            <w:shd w:val="clear" w:color="auto" w:fill="E0E7ED"/>
          </w:tcPr>
          <w:p>
            <w:pPr>
              <w:jc w:val="right"/>
              <w:ind w:right="130"/>
              <w:spacing w:after="0"/>
              <w:rPr>
                <w:sz w:val="20"/>
                <w:szCs w:val="20"/>
                <w:color w:val="auto"/>
              </w:rPr>
            </w:pPr>
            <w:r>
              <w:rPr>
                <w:rFonts w:ascii="Arial" w:cs="Arial" w:eastAsia="Arial" w:hAnsi="Arial"/>
                <w:sz w:val="14"/>
                <w:szCs w:val="14"/>
                <w:color w:val="auto"/>
              </w:rPr>
              <w:t>36,991</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41,288</w:t>
            </w:r>
          </w:p>
        </w:tc>
      </w:tr>
      <w:tr>
        <w:trPr>
          <w:trHeight w:val="203"/>
        </w:trPr>
        <w:tc>
          <w:tcPr>
            <w:tcW w:w="6100" w:type="dxa"/>
            <w:vAlign w:val="bottom"/>
          </w:tcPr>
          <w:p>
            <w:pPr>
              <w:ind w:left="140"/>
              <w:spacing w:after="0"/>
              <w:rPr>
                <w:sz w:val="20"/>
                <w:szCs w:val="20"/>
                <w:color w:val="auto"/>
              </w:rPr>
            </w:pPr>
            <w:r>
              <w:rPr>
                <w:rFonts w:ascii="Arial" w:cs="Arial" w:eastAsia="Arial" w:hAnsi="Arial"/>
                <w:sz w:val="14"/>
                <w:szCs w:val="14"/>
                <w:color w:val="auto"/>
              </w:rPr>
              <w:t>Realized net (gains) losses on the sale of mortgage servicing rights</w:t>
            </w: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(7,465)</w:t>
            </w:r>
          </w:p>
        </w:tc>
      </w:tr>
      <w:tr>
        <w:trPr>
          <w:trHeight w:val="237"/>
        </w:trPr>
        <w:tc>
          <w:tcPr>
            <w:tcW w:w="610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Adjusted noninterest income (Non-GAAP)</w:t>
            </w:r>
          </w:p>
        </w:tc>
        <w:tc>
          <w:tcPr>
            <w:tcW w:w="2120" w:type="dxa"/>
            <w:vAlign w:val="bottom"/>
            <w:tcBorders>
              <w:top w:val="single" w:sz="8" w:color="E0E7ED"/>
              <w:bottom w:val="single" w:sz="8" w:color="E0E7ED"/>
            </w:tcBorders>
            <w:shd w:val="clear" w:color="auto" w:fill="E0E7ED"/>
          </w:tcPr>
          <w:p>
            <w:pPr>
              <w:ind w:left="1140"/>
              <w:spacing w:after="0"/>
              <w:rPr>
                <w:sz w:val="20"/>
                <w:szCs w:val="20"/>
                <w:color w:val="auto"/>
              </w:rPr>
            </w:pPr>
            <w:r>
              <w:rPr>
                <w:rFonts w:ascii="Arial" w:cs="Arial" w:eastAsia="Arial" w:hAnsi="Arial"/>
                <w:sz w:val="14"/>
                <w:szCs w:val="14"/>
                <w:color w:val="auto"/>
              </w:rPr>
              <w:t>[d]</w:t>
            </w:r>
          </w:p>
        </w:tc>
        <w:tc>
          <w:tcPr>
            <w:tcW w:w="340" w:type="dxa"/>
            <w:vAlign w:val="bottom"/>
            <w:tcBorders>
              <w:top w:val="single" w:sz="8" w:color="auto"/>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E0E7ED"/>
          </w:tcPr>
          <w:p>
            <w:pPr>
              <w:jc w:val="right"/>
              <w:ind w:right="130"/>
              <w:spacing w:after="0"/>
              <w:rPr>
                <w:sz w:val="20"/>
                <w:szCs w:val="20"/>
                <w:color w:val="auto"/>
              </w:rPr>
            </w:pPr>
            <w:r>
              <w:rPr>
                <w:rFonts w:ascii="Arial" w:cs="Arial" w:eastAsia="Arial" w:hAnsi="Arial"/>
                <w:sz w:val="14"/>
                <w:szCs w:val="14"/>
                <w:color w:val="auto"/>
              </w:rPr>
              <w:t>36,991</w:t>
            </w:r>
          </w:p>
        </w:tc>
        <w:tc>
          <w:tcPr>
            <w:tcW w:w="80" w:type="dxa"/>
            <w:vAlign w:val="bottom"/>
            <w:tcBorders>
              <w:top w:val="single" w:sz="8" w:color="E0E7ED"/>
              <w:bottom w:val="single" w:sz="8" w:color="E0E7ED"/>
            </w:tcBorders>
            <w:shd w:val="clear" w:color="auto" w:fill="E0E7ED"/>
          </w:tcPr>
          <w:p>
            <w:pPr>
              <w:spacing w:after="0"/>
              <w:rPr>
                <w:sz w:val="20"/>
                <w:szCs w:val="20"/>
                <w:color w:val="auto"/>
              </w:rPr>
            </w:pPr>
          </w:p>
        </w:tc>
        <w:tc>
          <w:tcPr>
            <w:tcW w:w="340" w:type="dxa"/>
            <w:vAlign w:val="bottom"/>
            <w:tcBorders>
              <w:top w:val="single" w:sz="8" w:color="auto"/>
              <w:bottom w:val="single" w:sz="8" w:color="auto"/>
            </w:tcBorders>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E0E7ED"/>
          </w:tcPr>
          <w:p>
            <w:pPr>
              <w:jc w:val="right"/>
              <w:ind w:right="110"/>
              <w:spacing w:after="0"/>
              <w:rPr>
                <w:sz w:val="20"/>
                <w:szCs w:val="20"/>
                <w:color w:val="auto"/>
              </w:rPr>
            </w:pPr>
            <w:r>
              <w:rPr>
                <w:rFonts w:ascii="Arial" w:cs="Arial" w:eastAsia="Arial" w:hAnsi="Arial"/>
                <w:sz w:val="14"/>
                <w:szCs w:val="14"/>
                <w:color w:val="auto"/>
              </w:rPr>
              <w:t>33,823</w:t>
            </w:r>
          </w:p>
        </w:tc>
      </w:tr>
      <w:tr>
        <w:trPr>
          <w:trHeight w:val="20"/>
        </w:trPr>
        <w:tc>
          <w:tcPr>
            <w:tcW w:w="6100" w:type="dxa"/>
            <w:vAlign w:val="bottom"/>
            <w:tcBorders>
              <w:top w:val="single" w:sz="8" w:color="E0E7ED"/>
            </w:tcBorders>
          </w:tcPr>
          <w:p>
            <w:pPr>
              <w:spacing w:after="0" w:line="20" w:lineRule="exact"/>
              <w:rPr>
                <w:sz w:val="1"/>
                <w:szCs w:val="1"/>
                <w:color w:val="auto"/>
              </w:rPr>
            </w:pPr>
          </w:p>
        </w:tc>
        <w:tc>
          <w:tcPr>
            <w:tcW w:w="212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6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2"/>
        </w:trPr>
        <w:tc>
          <w:tcPr>
            <w:tcW w:w="6100" w:type="dxa"/>
            <w:vAlign w:val="bottom"/>
            <w:shd w:val="clear" w:color="auto" w:fill="E0E7ED"/>
          </w:tcPr>
          <w:p>
            <w:pPr>
              <w:ind w:left="20"/>
              <w:spacing w:after="0"/>
              <w:rPr>
                <w:sz w:val="20"/>
                <w:szCs w:val="20"/>
                <w:color w:val="auto"/>
              </w:rPr>
            </w:pPr>
            <w:r>
              <w:rPr>
                <w:rFonts w:ascii="Arial" w:cs="Arial" w:eastAsia="Arial" w:hAnsi="Arial"/>
                <w:sz w:val="14"/>
                <w:szCs w:val="14"/>
                <w:color w:val="auto"/>
              </w:rPr>
              <w:t>Tax-equivalent revenue (Non-GAAP)</w:t>
            </w:r>
          </w:p>
        </w:tc>
        <w:tc>
          <w:tcPr>
            <w:tcW w:w="2120" w:type="dxa"/>
            <w:vAlign w:val="bottom"/>
            <w:shd w:val="clear" w:color="auto" w:fill="E0E7ED"/>
          </w:tcPr>
          <w:p>
            <w:pPr>
              <w:ind w:left="1140"/>
              <w:spacing w:after="0"/>
              <w:rPr>
                <w:sz w:val="20"/>
                <w:szCs w:val="20"/>
                <w:color w:val="auto"/>
              </w:rPr>
            </w:pPr>
            <w:r>
              <w:rPr>
                <w:rFonts w:ascii="Arial" w:cs="Arial" w:eastAsia="Arial" w:hAnsi="Arial"/>
                <w:sz w:val="14"/>
                <w:szCs w:val="14"/>
                <w:color w:val="auto"/>
              </w:rPr>
              <w:t>[e = b+c]</w:t>
            </w: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7ED"/>
          </w:tcPr>
          <w:p>
            <w:pPr>
              <w:jc w:val="right"/>
              <w:ind w:right="130"/>
              <w:spacing w:after="0"/>
              <w:rPr>
                <w:sz w:val="20"/>
                <w:szCs w:val="20"/>
                <w:color w:val="auto"/>
              </w:rPr>
            </w:pPr>
            <w:r>
              <w:rPr>
                <w:rFonts w:ascii="Arial" w:cs="Arial" w:eastAsia="Arial" w:hAnsi="Arial"/>
                <w:sz w:val="14"/>
                <w:szCs w:val="14"/>
                <w:color w:val="auto"/>
              </w:rPr>
              <w:t>141,259</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117,591</w:t>
            </w:r>
          </w:p>
        </w:tc>
      </w:tr>
      <w:tr>
        <w:trPr>
          <w:trHeight w:val="202"/>
        </w:trPr>
        <w:tc>
          <w:tcPr>
            <w:tcW w:w="6100" w:type="dxa"/>
            <w:vAlign w:val="bottom"/>
          </w:tcPr>
          <w:p>
            <w:pPr>
              <w:ind w:left="20"/>
              <w:spacing w:after="0"/>
              <w:rPr>
                <w:sz w:val="20"/>
                <w:szCs w:val="20"/>
                <w:color w:val="auto"/>
              </w:rPr>
            </w:pPr>
            <w:r>
              <w:rPr>
                <w:rFonts w:ascii="Arial" w:cs="Arial" w:eastAsia="Arial" w:hAnsi="Arial"/>
                <w:sz w:val="14"/>
                <w:szCs w:val="14"/>
                <w:color w:val="auto"/>
              </w:rPr>
              <w:t>Adjusted tax-equivalent revenue (Non-GAAP)</w:t>
            </w:r>
          </w:p>
        </w:tc>
        <w:tc>
          <w:tcPr>
            <w:tcW w:w="2120" w:type="dxa"/>
            <w:vAlign w:val="bottom"/>
          </w:tcPr>
          <w:p>
            <w:pPr>
              <w:ind w:left="1140"/>
              <w:spacing w:after="0"/>
              <w:rPr>
                <w:sz w:val="20"/>
                <w:szCs w:val="20"/>
                <w:color w:val="auto"/>
              </w:rPr>
            </w:pPr>
            <w:r>
              <w:rPr>
                <w:rFonts w:ascii="Arial" w:cs="Arial" w:eastAsia="Arial" w:hAnsi="Arial"/>
                <w:sz w:val="14"/>
                <w:szCs w:val="14"/>
                <w:color w:val="auto"/>
              </w:rPr>
              <w:t>[f = b+d]</w:t>
            </w:r>
          </w:p>
        </w:tc>
        <w:tc>
          <w:tcPr>
            <w:tcW w:w="340" w:type="dxa"/>
            <w:vAlign w:val="bottom"/>
          </w:tcPr>
          <w:p>
            <w:pPr>
              <w:spacing w:after="0"/>
              <w:rPr>
                <w:sz w:val="17"/>
                <w:szCs w:val="17"/>
                <w:color w:val="auto"/>
              </w:rPr>
            </w:pPr>
          </w:p>
        </w:tc>
        <w:tc>
          <w:tcPr>
            <w:tcW w:w="1160" w:type="dxa"/>
            <w:vAlign w:val="bottom"/>
          </w:tcPr>
          <w:p>
            <w:pPr>
              <w:jc w:val="right"/>
              <w:ind w:right="130"/>
              <w:spacing w:after="0"/>
              <w:rPr>
                <w:sz w:val="20"/>
                <w:szCs w:val="20"/>
                <w:color w:val="auto"/>
              </w:rPr>
            </w:pPr>
            <w:r>
              <w:rPr>
                <w:rFonts w:ascii="Arial" w:cs="Arial" w:eastAsia="Arial" w:hAnsi="Arial"/>
                <w:sz w:val="14"/>
                <w:szCs w:val="14"/>
                <w:color w:val="auto"/>
              </w:rPr>
              <w:t>141,259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10"/>
              <w:spacing w:after="0"/>
              <w:rPr>
                <w:sz w:val="20"/>
                <w:szCs w:val="20"/>
                <w:color w:val="auto"/>
              </w:rPr>
            </w:pPr>
            <w:r>
              <w:rPr>
                <w:rFonts w:ascii="Arial" w:cs="Arial" w:eastAsia="Arial" w:hAnsi="Arial"/>
                <w:sz w:val="14"/>
                <w:szCs w:val="14"/>
                <w:color w:val="auto"/>
              </w:rPr>
              <w:t>110,126</w:t>
            </w:r>
          </w:p>
        </w:tc>
      </w:tr>
      <w:tr>
        <w:trPr>
          <w:trHeight w:val="222"/>
        </w:trPr>
        <w:tc>
          <w:tcPr>
            <w:tcW w:w="6100" w:type="dxa"/>
            <w:vAlign w:val="bottom"/>
            <w:shd w:val="clear" w:color="auto" w:fill="E0E7ED"/>
          </w:tcPr>
          <w:p>
            <w:pPr>
              <w:ind w:left="20"/>
              <w:spacing w:after="0"/>
              <w:rPr>
                <w:sz w:val="20"/>
                <w:szCs w:val="20"/>
                <w:color w:val="auto"/>
              </w:rPr>
            </w:pPr>
            <w:r>
              <w:rPr>
                <w:rFonts w:ascii="Arial" w:cs="Arial" w:eastAsia="Arial" w:hAnsi="Arial"/>
                <w:sz w:val="14"/>
                <w:szCs w:val="14"/>
                <w:color w:val="auto"/>
              </w:rPr>
              <w:t>Operating revenue (Non-GAAP)</w:t>
            </w:r>
          </w:p>
        </w:tc>
        <w:tc>
          <w:tcPr>
            <w:tcW w:w="2120" w:type="dxa"/>
            <w:vAlign w:val="bottom"/>
            <w:shd w:val="clear" w:color="auto" w:fill="E0E7ED"/>
          </w:tcPr>
          <w:p>
            <w:pPr>
              <w:ind w:left="1140"/>
              <w:spacing w:after="0"/>
              <w:rPr>
                <w:sz w:val="20"/>
                <w:szCs w:val="20"/>
                <w:color w:val="auto"/>
              </w:rPr>
            </w:pPr>
            <w:r>
              <w:rPr>
                <w:rFonts w:ascii="Arial" w:cs="Arial" w:eastAsia="Arial" w:hAnsi="Arial"/>
                <w:sz w:val="14"/>
                <w:szCs w:val="14"/>
                <w:color w:val="auto"/>
              </w:rPr>
              <w:t>[g = a+d]</w:t>
            </w:r>
          </w:p>
        </w:tc>
        <w:tc>
          <w:tcPr>
            <w:tcW w:w="340" w:type="dxa"/>
            <w:vAlign w:val="bottom"/>
            <w:shd w:val="clear" w:color="auto" w:fill="E0E7ED"/>
          </w:tcPr>
          <w:p>
            <w:pPr>
              <w:spacing w:after="0"/>
              <w:rPr>
                <w:sz w:val="19"/>
                <w:szCs w:val="19"/>
                <w:color w:val="auto"/>
              </w:rPr>
            </w:pPr>
          </w:p>
        </w:tc>
        <w:tc>
          <w:tcPr>
            <w:tcW w:w="1160" w:type="dxa"/>
            <w:vAlign w:val="bottom"/>
            <w:shd w:val="clear" w:color="auto" w:fill="E0E7ED"/>
          </w:tcPr>
          <w:p>
            <w:pPr>
              <w:jc w:val="right"/>
              <w:ind w:right="130"/>
              <w:spacing w:after="0"/>
              <w:rPr>
                <w:sz w:val="20"/>
                <w:szCs w:val="20"/>
                <w:color w:val="auto"/>
              </w:rPr>
            </w:pPr>
            <w:r>
              <w:rPr>
                <w:rFonts w:ascii="Arial" w:cs="Arial" w:eastAsia="Arial" w:hAnsi="Arial"/>
                <w:sz w:val="14"/>
                <w:szCs w:val="14"/>
                <w:color w:val="auto"/>
              </w:rPr>
              <w:t>140,722</w:t>
            </w:r>
          </w:p>
        </w:tc>
        <w:tc>
          <w:tcPr>
            <w:tcW w:w="8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109,677</w:t>
            </w:r>
          </w:p>
        </w:tc>
      </w:tr>
      <w:tr>
        <w:trPr>
          <w:trHeight w:val="212"/>
        </w:trPr>
        <w:tc>
          <w:tcPr>
            <w:tcW w:w="6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6100" w:type="dxa"/>
            <w:vAlign w:val="bottom"/>
            <w:shd w:val="clear" w:color="auto" w:fill="E0E7ED"/>
          </w:tcPr>
          <w:p>
            <w:pPr>
              <w:ind w:left="20"/>
              <w:spacing w:after="0"/>
              <w:rPr>
                <w:sz w:val="20"/>
                <w:szCs w:val="20"/>
                <w:color w:val="auto"/>
              </w:rPr>
            </w:pPr>
            <w:r>
              <w:rPr>
                <w:rFonts w:ascii="Arial" w:cs="Arial" w:eastAsia="Arial" w:hAnsi="Arial"/>
                <w:sz w:val="14"/>
                <w:szCs w:val="14"/>
                <w:color w:val="auto"/>
              </w:rPr>
              <w:t>Adjusted noninterest income to operating revenue (Non-GAAP)</w:t>
            </w:r>
          </w:p>
        </w:tc>
        <w:tc>
          <w:tcPr>
            <w:tcW w:w="2120" w:type="dxa"/>
            <w:vAlign w:val="bottom"/>
            <w:shd w:val="clear" w:color="auto" w:fill="E0E7ED"/>
          </w:tcPr>
          <w:p>
            <w:pPr>
              <w:ind w:left="1140"/>
              <w:spacing w:after="0"/>
              <w:rPr>
                <w:sz w:val="20"/>
                <w:szCs w:val="20"/>
                <w:color w:val="auto"/>
              </w:rPr>
            </w:pPr>
            <w:r>
              <w:rPr>
                <w:rFonts w:ascii="Arial" w:cs="Arial" w:eastAsia="Arial" w:hAnsi="Arial"/>
                <w:sz w:val="14"/>
                <w:szCs w:val="14"/>
                <w:color w:val="auto"/>
              </w:rPr>
              <w:t>[d÷g]</w:t>
            </w:r>
          </w:p>
        </w:tc>
        <w:tc>
          <w:tcPr>
            <w:tcW w:w="34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26.29 %</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30.84 %</w:t>
            </w:r>
          </w:p>
        </w:tc>
      </w:tr>
      <w:tr>
        <w:trPr>
          <w:trHeight w:val="212"/>
        </w:trPr>
        <w:tc>
          <w:tcPr>
            <w:tcW w:w="6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61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Total noninterest expense (GAAP)</w:t>
            </w:r>
          </w:p>
        </w:tc>
        <w:tc>
          <w:tcPr>
            <w:tcW w:w="2120" w:type="dxa"/>
            <w:vAlign w:val="bottom"/>
            <w:shd w:val="clear" w:color="auto" w:fill="E0E7ED"/>
          </w:tcPr>
          <w:p>
            <w:pPr>
              <w:spacing w:after="0"/>
              <w:rPr>
                <w:sz w:val="18"/>
                <w:szCs w:val="18"/>
                <w:color w:val="auto"/>
              </w:rPr>
            </w:pP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7ED"/>
          </w:tcPr>
          <w:p>
            <w:pPr>
              <w:jc w:val="right"/>
              <w:ind w:right="130"/>
              <w:spacing w:after="0"/>
              <w:rPr>
                <w:sz w:val="20"/>
                <w:szCs w:val="20"/>
                <w:color w:val="auto"/>
              </w:rPr>
            </w:pPr>
            <w:r>
              <w:rPr>
                <w:rFonts w:ascii="Arial" w:cs="Arial" w:eastAsia="Arial" w:hAnsi="Arial"/>
                <w:sz w:val="14"/>
                <w:szCs w:val="14"/>
                <w:color w:val="auto"/>
              </w:rPr>
              <w:t>115,171</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70,769</w:t>
            </w:r>
          </w:p>
        </w:tc>
      </w:tr>
      <w:tr>
        <w:trPr>
          <w:trHeight w:val="203"/>
        </w:trPr>
        <w:tc>
          <w:tcPr>
            <w:tcW w:w="610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Amortization of intangible assets</w:t>
            </w:r>
          </w:p>
        </w:tc>
        <w:tc>
          <w:tcPr>
            <w:tcW w:w="212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(3,083)</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(2,409)</w:t>
            </w:r>
          </w:p>
        </w:tc>
      </w:tr>
      <w:tr>
        <w:trPr>
          <w:trHeight w:val="212"/>
        </w:trPr>
        <w:tc>
          <w:tcPr>
            <w:tcW w:w="61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Noninterest expense excluding amortization of intangible assets (Non-GAAP)</w:t>
            </w:r>
          </w:p>
        </w:tc>
        <w:tc>
          <w:tcPr>
            <w:tcW w:w="2120" w:type="dxa"/>
            <w:vAlign w:val="bottom"/>
            <w:shd w:val="clear" w:color="auto" w:fill="E0E7ED"/>
          </w:tcPr>
          <w:p>
            <w:pPr>
              <w:ind w:left="1140"/>
              <w:spacing w:after="0"/>
              <w:rPr>
                <w:sz w:val="20"/>
                <w:szCs w:val="20"/>
                <w:color w:val="auto"/>
              </w:rPr>
            </w:pPr>
            <w:r>
              <w:rPr>
                <w:rFonts w:ascii="Arial" w:cs="Arial" w:eastAsia="Arial" w:hAnsi="Arial"/>
                <w:sz w:val="14"/>
                <w:szCs w:val="14"/>
                <w:color w:val="auto"/>
              </w:rPr>
              <w:t>[h]</w:t>
            </w:r>
          </w:p>
        </w:tc>
        <w:tc>
          <w:tcPr>
            <w:tcW w:w="340" w:type="dxa"/>
            <w:vAlign w:val="bottom"/>
            <w:shd w:val="clear" w:color="auto" w:fill="E0E7ED"/>
          </w:tcPr>
          <w:p>
            <w:pPr>
              <w:spacing w:after="0"/>
              <w:rPr>
                <w:sz w:val="18"/>
                <w:szCs w:val="18"/>
                <w:color w:val="auto"/>
              </w:rPr>
            </w:pPr>
          </w:p>
        </w:tc>
        <w:tc>
          <w:tcPr>
            <w:tcW w:w="1160" w:type="dxa"/>
            <w:vAlign w:val="bottom"/>
            <w:shd w:val="clear" w:color="auto" w:fill="E0E7ED"/>
          </w:tcPr>
          <w:p>
            <w:pPr>
              <w:jc w:val="right"/>
              <w:ind w:right="130"/>
              <w:spacing w:after="0"/>
              <w:rPr>
                <w:sz w:val="20"/>
                <w:szCs w:val="20"/>
                <w:color w:val="auto"/>
              </w:rPr>
            </w:pPr>
            <w:r>
              <w:rPr>
                <w:rFonts w:ascii="Arial" w:cs="Arial" w:eastAsia="Arial" w:hAnsi="Arial"/>
                <w:sz w:val="14"/>
                <w:szCs w:val="14"/>
                <w:color w:val="auto"/>
              </w:rPr>
              <w:t>112,088</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68,360</w:t>
            </w:r>
          </w:p>
        </w:tc>
      </w:tr>
      <w:tr>
        <w:trPr>
          <w:trHeight w:val="202"/>
        </w:trPr>
        <w:tc>
          <w:tcPr>
            <w:tcW w:w="6100" w:type="dxa"/>
            <w:vAlign w:val="bottom"/>
          </w:tcPr>
          <w:p>
            <w:pPr>
              <w:ind w:left="140"/>
              <w:spacing w:after="0"/>
              <w:rPr>
                <w:sz w:val="20"/>
                <w:szCs w:val="20"/>
                <w:color w:val="auto"/>
              </w:rPr>
            </w:pPr>
            <w:r>
              <w:rPr>
                <w:rFonts w:ascii="Arial" w:cs="Arial" w:eastAsia="Arial" w:hAnsi="Arial"/>
                <w:sz w:val="14"/>
                <w:szCs w:val="14"/>
                <w:color w:val="auto"/>
              </w:rPr>
              <w:t>Acquisition and restructuring expenses</w:t>
            </w: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(26,026)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(408)</w:t>
            </w:r>
          </w:p>
        </w:tc>
      </w:tr>
      <w:tr>
        <w:trPr>
          <w:trHeight w:val="222"/>
        </w:trPr>
        <w:tc>
          <w:tcPr>
            <w:tcW w:w="61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Provision for unfunded commitments</w:t>
            </w:r>
            <w:r>
              <w:rPr>
                <w:rFonts w:ascii="Arial" w:cs="Arial" w:eastAsia="Arial" w:hAnsi="Arial"/>
                <w:sz w:val="18"/>
                <w:szCs w:val="18"/>
                <w:color w:val="auto"/>
                <w:vertAlign w:val="superscript"/>
              </w:rPr>
              <w:t>2</w:t>
            </w:r>
          </w:p>
        </w:tc>
        <w:tc>
          <w:tcPr>
            <w:tcW w:w="2120" w:type="dxa"/>
            <w:vAlign w:val="bottom"/>
            <w:shd w:val="clear" w:color="auto" w:fill="E0E7ED"/>
          </w:tcPr>
          <w:p>
            <w:pPr>
              <w:spacing w:after="0"/>
              <w:rPr>
                <w:sz w:val="19"/>
                <w:szCs w:val="19"/>
                <w:color w:val="auto"/>
              </w:rPr>
            </w:pPr>
          </w:p>
        </w:tc>
        <w:tc>
          <w:tcPr>
            <w:tcW w:w="340" w:type="dxa"/>
            <w:vAlign w:val="bottom"/>
            <w:tcBorders>
              <w:bottom w:val="single" w:sz="8" w:color="auto"/>
            </w:tcBorders>
            <w:shd w:val="clear" w:color="auto" w:fill="E0E7ED"/>
          </w:tcPr>
          <w:p>
            <w:pPr>
              <w:spacing w:after="0"/>
              <w:rPr>
                <w:sz w:val="19"/>
                <w:szCs w:val="19"/>
                <w:color w:val="auto"/>
              </w:rPr>
            </w:pPr>
          </w:p>
        </w:tc>
        <w:tc>
          <w:tcPr>
            <w:tcW w:w="1160" w:type="dxa"/>
            <w:vAlign w:val="bottom"/>
            <w:tcBorders>
              <w:bottom w:val="single" w:sz="8" w:color="auto"/>
            </w:tcBorders>
            <w:shd w:val="clear" w:color="auto" w:fill="E0E7ED"/>
          </w:tcPr>
          <w:p>
            <w:pPr>
              <w:jc w:val="right"/>
              <w:ind w:right="90"/>
              <w:spacing w:after="0"/>
              <w:rPr>
                <w:sz w:val="20"/>
                <w:szCs w:val="20"/>
                <w:color w:val="auto"/>
              </w:rPr>
            </w:pPr>
            <w:r>
              <w:rPr>
                <w:rFonts w:ascii="Arial" w:cs="Arial" w:eastAsia="Arial" w:hAnsi="Arial"/>
                <w:sz w:val="14"/>
                <w:szCs w:val="14"/>
                <w:color w:val="auto"/>
              </w:rPr>
              <w:t>(3,141)</w:t>
            </w:r>
          </w:p>
        </w:tc>
        <w:tc>
          <w:tcPr>
            <w:tcW w:w="80" w:type="dxa"/>
            <w:vAlign w:val="bottom"/>
            <w:shd w:val="clear" w:color="auto" w:fill="E0E7ED"/>
          </w:tcPr>
          <w:p>
            <w:pPr>
              <w:spacing w:after="0"/>
              <w:rPr>
                <w:sz w:val="19"/>
                <w:szCs w:val="19"/>
                <w:color w:val="auto"/>
              </w:rPr>
            </w:pPr>
          </w:p>
        </w:tc>
        <w:tc>
          <w:tcPr>
            <w:tcW w:w="340" w:type="dxa"/>
            <w:vAlign w:val="bottom"/>
            <w:tcBorders>
              <w:bottom w:val="single" w:sz="8" w:color="auto"/>
            </w:tcBorders>
            <w:shd w:val="clear" w:color="auto" w:fill="E0E7ED"/>
          </w:tcPr>
          <w:p>
            <w:pPr>
              <w:spacing w:after="0"/>
              <w:rPr>
                <w:sz w:val="19"/>
                <w:szCs w:val="19"/>
                <w:color w:val="auto"/>
              </w:rPr>
            </w:pPr>
          </w:p>
        </w:tc>
        <w:tc>
          <w:tcPr>
            <w:tcW w:w="114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4"/>
                <w:szCs w:val="14"/>
                <w:color w:val="auto"/>
              </w:rPr>
              <w:t>678</w:t>
            </w:r>
          </w:p>
        </w:tc>
      </w:tr>
      <w:tr>
        <w:trPr>
          <w:trHeight w:val="203"/>
        </w:trPr>
        <w:tc>
          <w:tcPr>
            <w:tcW w:w="6100" w:type="dxa"/>
            <w:vAlign w:val="bottom"/>
          </w:tcPr>
          <w:p>
            <w:pPr>
              <w:ind w:left="20"/>
              <w:spacing w:after="0" w:line="203" w:lineRule="exact"/>
              <w:rPr>
                <w:sz w:val="20"/>
                <w:szCs w:val="20"/>
                <w:color w:val="auto"/>
              </w:rPr>
            </w:pPr>
            <w:r>
              <w:rPr>
                <w:rFonts w:ascii="Arial" w:cs="Arial" w:eastAsia="Arial" w:hAnsi="Arial"/>
                <w:sz w:val="14"/>
                <w:szCs w:val="14"/>
                <w:color w:val="auto"/>
              </w:rPr>
              <w:t>Adjusted noninterest expense (Non-GAAP)</w:t>
            </w:r>
            <w:r>
              <w:rPr>
                <w:rFonts w:ascii="Arial" w:cs="Arial" w:eastAsia="Arial" w:hAnsi="Arial"/>
                <w:sz w:val="18"/>
                <w:szCs w:val="18"/>
                <w:color w:val="auto"/>
                <w:vertAlign w:val="superscript"/>
              </w:rPr>
              <w:t>3</w:t>
            </w:r>
          </w:p>
        </w:tc>
        <w:tc>
          <w:tcPr>
            <w:tcW w:w="2120" w:type="dxa"/>
            <w:vAlign w:val="bottom"/>
          </w:tcPr>
          <w:p>
            <w:pPr>
              <w:ind w:left="1140"/>
              <w:spacing w:after="0"/>
              <w:rPr>
                <w:sz w:val="20"/>
                <w:szCs w:val="20"/>
                <w:color w:val="auto"/>
              </w:rPr>
            </w:pPr>
            <w:r>
              <w:rPr>
                <w:rFonts w:ascii="Arial" w:cs="Arial" w:eastAsia="Arial" w:hAnsi="Arial"/>
                <w:sz w:val="14"/>
                <w:szCs w:val="14"/>
                <w:color w:val="auto"/>
              </w:rPr>
              <w:t>[i]</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82,921</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68,630</w:t>
            </w:r>
          </w:p>
        </w:tc>
      </w:tr>
      <w:tr>
        <w:trPr>
          <w:trHeight w:val="20"/>
        </w:trPr>
        <w:tc>
          <w:tcPr>
            <w:tcW w:w="6100" w:type="dxa"/>
            <w:vAlign w:val="bottom"/>
            <w:tcBorders>
              <w:bottom w:val="single" w:sz="8" w:color="E0E7ED"/>
            </w:tcBorders>
          </w:tcPr>
          <w:p>
            <w:pPr>
              <w:spacing w:after="0" w:line="20" w:lineRule="exact"/>
              <w:rPr>
                <w:sz w:val="1"/>
                <w:szCs w:val="1"/>
                <w:color w:val="auto"/>
              </w:rPr>
            </w:pPr>
          </w:p>
        </w:tc>
        <w:tc>
          <w:tcPr>
            <w:tcW w:w="212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6100" w:type="dxa"/>
            <w:vAlign w:val="bottom"/>
            <w:shd w:val="clear" w:color="auto" w:fill="E0E7ED"/>
          </w:tcPr>
          <w:p>
            <w:pPr>
              <w:spacing w:after="0"/>
              <w:rPr>
                <w:sz w:val="15"/>
                <w:szCs w:val="15"/>
                <w:color w:val="auto"/>
              </w:rPr>
            </w:pPr>
          </w:p>
        </w:tc>
        <w:tc>
          <w:tcPr>
            <w:tcW w:w="212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r>
      <w:tr>
        <w:trPr>
          <w:trHeight w:val="202"/>
        </w:trPr>
        <w:tc>
          <w:tcPr>
            <w:tcW w:w="6100" w:type="dxa"/>
            <w:vAlign w:val="bottom"/>
          </w:tcPr>
          <w:p>
            <w:pPr>
              <w:ind w:left="20"/>
              <w:spacing w:after="0"/>
              <w:rPr>
                <w:sz w:val="20"/>
                <w:szCs w:val="20"/>
                <w:color w:val="auto"/>
              </w:rPr>
            </w:pPr>
            <w:r>
              <w:rPr>
                <w:rFonts w:ascii="Arial" w:cs="Arial" w:eastAsia="Arial" w:hAnsi="Arial"/>
                <w:sz w:val="14"/>
                <w:szCs w:val="14"/>
                <w:color w:val="auto"/>
              </w:rPr>
              <w:t>Efficiency ratio (Non-GAAP)</w:t>
            </w:r>
          </w:p>
        </w:tc>
        <w:tc>
          <w:tcPr>
            <w:tcW w:w="2120" w:type="dxa"/>
            <w:vAlign w:val="bottom"/>
          </w:tcPr>
          <w:p>
            <w:pPr>
              <w:ind w:left="1140"/>
              <w:spacing w:after="0"/>
              <w:rPr>
                <w:sz w:val="20"/>
                <w:szCs w:val="20"/>
                <w:color w:val="auto"/>
              </w:rPr>
            </w:pPr>
            <w:r>
              <w:rPr>
                <w:rFonts w:ascii="Arial" w:cs="Arial" w:eastAsia="Arial" w:hAnsi="Arial"/>
                <w:sz w:val="14"/>
                <w:szCs w:val="14"/>
                <w:color w:val="auto"/>
              </w:rPr>
              <w:t>[h÷e]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79.35 %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58.13 %</w:t>
            </w:r>
          </w:p>
        </w:tc>
      </w:tr>
      <w:tr>
        <w:trPr>
          <w:trHeight w:val="222"/>
        </w:trPr>
        <w:tc>
          <w:tcPr>
            <w:tcW w:w="6100" w:type="dxa"/>
            <w:vAlign w:val="bottom"/>
            <w:shd w:val="clear" w:color="auto" w:fill="E0E7ED"/>
          </w:tcPr>
          <w:p>
            <w:pPr>
              <w:ind w:left="20"/>
              <w:spacing w:after="0"/>
              <w:rPr>
                <w:sz w:val="20"/>
                <w:szCs w:val="20"/>
                <w:color w:val="auto"/>
              </w:rPr>
            </w:pPr>
            <w:r>
              <w:rPr>
                <w:rFonts w:ascii="Arial" w:cs="Arial" w:eastAsia="Arial" w:hAnsi="Arial"/>
                <w:sz w:val="14"/>
                <w:szCs w:val="14"/>
                <w:color w:val="auto"/>
              </w:rPr>
              <w:t>Adjusted efficiency ratio (Non-GAAP)</w:t>
            </w:r>
            <w:r>
              <w:rPr>
                <w:rFonts w:ascii="Arial" w:cs="Arial" w:eastAsia="Arial" w:hAnsi="Arial"/>
                <w:sz w:val="18"/>
                <w:szCs w:val="18"/>
                <w:color w:val="auto"/>
                <w:vertAlign w:val="superscript"/>
              </w:rPr>
              <w:t>3</w:t>
            </w:r>
          </w:p>
        </w:tc>
        <w:tc>
          <w:tcPr>
            <w:tcW w:w="2120" w:type="dxa"/>
            <w:vAlign w:val="bottom"/>
            <w:shd w:val="clear" w:color="auto" w:fill="E0E7ED"/>
          </w:tcPr>
          <w:p>
            <w:pPr>
              <w:ind w:left="1140"/>
              <w:spacing w:after="0"/>
              <w:rPr>
                <w:sz w:val="20"/>
                <w:szCs w:val="20"/>
                <w:color w:val="auto"/>
              </w:rPr>
            </w:pPr>
            <w:r>
              <w:rPr>
                <w:rFonts w:ascii="Arial" w:cs="Arial" w:eastAsia="Arial" w:hAnsi="Arial"/>
                <w:sz w:val="14"/>
                <w:szCs w:val="14"/>
                <w:color w:val="auto"/>
              </w:rPr>
              <w:t>[i÷f]</w:t>
            </w:r>
          </w:p>
        </w:tc>
        <w:tc>
          <w:tcPr>
            <w:tcW w:w="340" w:type="dxa"/>
            <w:vAlign w:val="bottom"/>
            <w:shd w:val="clear" w:color="auto" w:fill="E0E7ED"/>
          </w:tcPr>
          <w:p>
            <w:pPr>
              <w:spacing w:after="0"/>
              <w:rPr>
                <w:sz w:val="19"/>
                <w:szCs w:val="19"/>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58.70 %</w:t>
            </w:r>
          </w:p>
        </w:tc>
        <w:tc>
          <w:tcPr>
            <w:tcW w:w="8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62.32 %</w:t>
            </w:r>
          </w:p>
        </w:tc>
      </w:tr>
      <w:tr>
        <w:trPr>
          <w:trHeight w:val="212"/>
        </w:trPr>
        <w:tc>
          <w:tcPr>
            <w:tcW w:w="6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6100" w:type="dxa"/>
            <w:vAlign w:val="bottom"/>
            <w:shd w:val="clear" w:color="auto" w:fill="E0E7ED"/>
          </w:tcPr>
          <w:p>
            <w:pPr>
              <w:ind w:left="20"/>
              <w:spacing w:after="0"/>
              <w:rPr>
                <w:sz w:val="20"/>
                <w:szCs w:val="20"/>
                <w:color w:val="auto"/>
              </w:rPr>
            </w:pPr>
            <w:r>
              <w:rPr>
                <w:rFonts w:ascii="Arial" w:cs="Arial" w:eastAsia="Arial" w:hAnsi="Arial"/>
                <w:sz w:val="14"/>
                <w:szCs w:val="14"/>
                <w:color w:val="auto"/>
              </w:rPr>
              <w:t>Average total assets</w:t>
            </w:r>
          </w:p>
        </w:tc>
        <w:tc>
          <w:tcPr>
            <w:tcW w:w="2120" w:type="dxa"/>
            <w:vAlign w:val="bottom"/>
            <w:shd w:val="clear" w:color="auto" w:fill="E0E7ED"/>
          </w:tcPr>
          <w:p>
            <w:pPr>
              <w:ind w:left="1140"/>
              <w:spacing w:after="0"/>
              <w:rPr>
                <w:sz w:val="20"/>
                <w:szCs w:val="20"/>
                <w:color w:val="auto"/>
              </w:rPr>
            </w:pPr>
            <w:r>
              <w:rPr>
                <w:rFonts w:ascii="Arial" w:cs="Arial" w:eastAsia="Arial" w:hAnsi="Arial"/>
                <w:sz w:val="14"/>
                <w:szCs w:val="14"/>
                <w:color w:val="auto"/>
              </w:rPr>
              <w:t>[j]</w:t>
            </w:r>
          </w:p>
        </w:tc>
        <w:tc>
          <w:tcPr>
            <w:tcW w:w="340" w:type="dxa"/>
            <w:vAlign w:val="bottom"/>
            <w:shd w:val="clear" w:color="auto" w:fill="E0E7ED"/>
          </w:tcPr>
          <w:p>
            <w:pPr>
              <w:spacing w:after="0"/>
              <w:rPr>
                <w:sz w:val="18"/>
                <w:szCs w:val="18"/>
                <w:color w:val="auto"/>
              </w:rPr>
            </w:pPr>
          </w:p>
        </w:tc>
        <w:tc>
          <w:tcPr>
            <w:tcW w:w="1160" w:type="dxa"/>
            <w:vAlign w:val="bottom"/>
            <w:shd w:val="clear" w:color="auto" w:fill="E0E7ED"/>
          </w:tcPr>
          <w:p>
            <w:pPr>
              <w:jc w:val="right"/>
              <w:ind w:right="130"/>
              <w:spacing w:after="0"/>
              <w:rPr>
                <w:sz w:val="20"/>
                <w:szCs w:val="20"/>
                <w:color w:val="auto"/>
              </w:rPr>
            </w:pPr>
            <w:r>
              <w:rPr>
                <w:rFonts w:ascii="Arial" w:cs="Arial" w:eastAsia="Arial" w:hAnsi="Arial"/>
                <w:sz w:val="14"/>
                <w:szCs w:val="14"/>
                <w:color w:val="auto"/>
              </w:rPr>
              <w:t>14,831,298</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10"/>
              <w:spacing w:after="0"/>
              <w:rPr>
                <w:sz w:val="20"/>
                <w:szCs w:val="20"/>
                <w:color w:val="auto"/>
              </w:rPr>
            </w:pPr>
            <w:r>
              <w:rPr>
                <w:rFonts w:ascii="Arial" w:cs="Arial" w:eastAsia="Arial" w:hAnsi="Arial"/>
                <w:sz w:val="14"/>
                <w:szCs w:val="14"/>
                <w:color w:val="auto"/>
              </w:rPr>
              <w:t>12,024,208</w:t>
            </w:r>
          </w:p>
        </w:tc>
      </w:tr>
      <w:tr>
        <w:trPr>
          <w:trHeight w:val="259"/>
        </w:trPr>
        <w:tc>
          <w:tcPr>
            <w:tcW w:w="6100" w:type="dxa"/>
            <w:vAlign w:val="bottom"/>
          </w:tcPr>
          <w:p>
            <w:pPr>
              <w:ind w:left="20"/>
              <w:spacing w:after="0"/>
              <w:rPr>
                <w:sz w:val="20"/>
                <w:szCs w:val="20"/>
                <w:color w:val="auto"/>
              </w:rPr>
            </w:pPr>
            <w:r>
              <w:rPr>
                <w:rFonts w:ascii="Arial" w:cs="Arial" w:eastAsia="Arial" w:hAnsi="Arial"/>
                <w:sz w:val="14"/>
                <w:szCs w:val="14"/>
                <w:color w:val="auto"/>
              </w:rPr>
              <w:t>Adjusted noninterest expense to average assets (Non-GAAP)</w:t>
            </w:r>
            <w:r>
              <w:rPr>
                <w:rFonts w:ascii="Arial" w:cs="Arial" w:eastAsia="Arial" w:hAnsi="Arial"/>
                <w:sz w:val="18"/>
                <w:szCs w:val="18"/>
                <w:color w:val="auto"/>
                <w:vertAlign w:val="superscript"/>
              </w:rPr>
              <w:t>4</w:t>
            </w:r>
          </w:p>
        </w:tc>
        <w:tc>
          <w:tcPr>
            <w:tcW w:w="2120" w:type="dxa"/>
            <w:vAlign w:val="bottom"/>
          </w:tcPr>
          <w:p>
            <w:pPr>
              <w:ind w:left="1140"/>
              <w:spacing w:after="0"/>
              <w:rPr>
                <w:sz w:val="20"/>
                <w:szCs w:val="20"/>
                <w:color w:val="auto"/>
              </w:rPr>
            </w:pPr>
            <w:r>
              <w:rPr>
                <w:rFonts w:ascii="Arial" w:cs="Arial" w:eastAsia="Arial" w:hAnsi="Arial"/>
                <w:sz w:val="14"/>
                <w:szCs w:val="14"/>
                <w:color w:val="auto"/>
              </w:rPr>
              <w:t>[i÷j]</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2.27 %</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2.30 %</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Tax-equivalent adjustments were calculated using an estimated federal income tax rate of 21.0%, applied to non-taxable interest income on investments and loans.</w:t>
      </w:r>
    </w:p>
    <w:p>
      <w:pPr>
        <w:spacing w:after="0" w:line="11" w:lineRule="exact"/>
        <w:rPr>
          <w:rFonts w:ascii="Arial" w:cs="Arial" w:eastAsia="Arial" w:hAnsi="Arial"/>
          <w:sz w:val="11"/>
          <w:szCs w:val="11"/>
          <w:color w:val="auto"/>
        </w:rPr>
      </w:pPr>
    </w:p>
    <w:p>
      <w:pPr>
        <w:ind w:left="380" w:hanging="248"/>
        <w:spacing w:after="0"/>
        <w:tabs>
          <w:tab w:leader="none" w:pos="380" w:val="left"/>
        </w:tabs>
        <w:numPr>
          <w:ilvl w:val="0"/>
          <w:numId w:val="35"/>
        </w:numPr>
        <w:rPr>
          <w:rFonts w:ascii="Arial" w:cs="Arial" w:eastAsia="Arial" w:hAnsi="Arial"/>
          <w:sz w:val="11"/>
          <w:szCs w:val="11"/>
          <w:color w:val="auto"/>
        </w:rPr>
      </w:pPr>
      <w:r>
        <w:rPr>
          <w:rFonts w:ascii="Arial" w:cs="Arial" w:eastAsia="Arial" w:hAnsi="Arial"/>
          <w:sz w:val="11"/>
          <w:szCs w:val="11"/>
          <w:color w:val="auto"/>
        </w:rPr>
        <w:t>For the three months ended March 31, 2025, the provision for unfunded commitments included Day 2 provision expense of $3.139 million recorded in connection with the CrossFirst acquisition.</w:t>
      </w:r>
    </w:p>
    <w:p>
      <w:pPr>
        <w:spacing w:after="0" w:line="11" w:lineRule="exact"/>
        <w:rPr>
          <w:rFonts w:ascii="Arial" w:cs="Arial" w:eastAsia="Arial" w:hAnsi="Arial"/>
          <w:sz w:val="11"/>
          <w:szCs w:val="11"/>
          <w:color w:val="auto"/>
        </w:rPr>
      </w:pPr>
    </w:p>
    <w:p>
      <w:pPr>
        <w:ind w:left="380" w:hanging="248"/>
        <w:spacing w:after="0" w:line="251" w:lineRule="auto"/>
        <w:tabs>
          <w:tab w:leader="none" w:pos="379" w:val="left"/>
        </w:tabs>
        <w:numPr>
          <w:ilvl w:val="0"/>
          <w:numId w:val="35"/>
        </w:numPr>
        <w:rPr>
          <w:rFonts w:ascii="Arial" w:cs="Arial" w:eastAsia="Arial" w:hAnsi="Arial"/>
          <w:sz w:val="11"/>
          <w:szCs w:val="11"/>
          <w:color w:val="auto"/>
        </w:rPr>
      </w:pPr>
      <w:r>
        <w:rPr>
          <w:rFonts w:ascii="Arial" w:cs="Arial" w:eastAsia="Arial" w:hAnsi="Arial"/>
          <w:sz w:val="11"/>
          <w:szCs w:val="11"/>
          <w:color w:val="auto"/>
        </w:rPr>
        <w:t>Beginning in 2025, Busey revised its calculation of adjusted noninterest expense and the adjusted efficiency ratio for all periods presented to include, as applicable, adjustments for the provision for unfunded commitments. In 2024, these adjustments were previously presented as adjustments for adjusted core expense and the adjusted core efficiency ratio.</w:t>
      </w:r>
    </w:p>
    <w:p>
      <w:pPr>
        <w:ind w:left="380" w:hanging="248"/>
        <w:spacing w:after="0"/>
        <w:tabs>
          <w:tab w:leader="none" w:pos="380" w:val="left"/>
        </w:tabs>
        <w:numPr>
          <w:ilvl w:val="0"/>
          <w:numId w:val="35"/>
        </w:numPr>
        <w:rPr>
          <w:rFonts w:ascii="Arial" w:cs="Arial" w:eastAsia="Arial" w:hAnsi="Arial"/>
          <w:sz w:val="11"/>
          <w:szCs w:val="11"/>
          <w:color w:val="auto"/>
        </w:rPr>
      </w:pPr>
      <w:r>
        <w:rPr>
          <w:rFonts w:ascii="Arial" w:cs="Arial" w:eastAsia="Arial" w:hAnsi="Arial"/>
          <w:sz w:val="11"/>
          <w:szCs w:val="11"/>
          <w:color w:val="auto"/>
        </w:rPr>
        <w:t>Annualized measure.</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92" w:name="page93"/>
    <w:bookmarkEnd w:id="92"/>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NON-GAAP FINANCIAL MEASURES (Unaudited)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Tangible Assets, Tangible Common Equity, and Related Measures and Ratio</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As of</w:t>
            </w: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7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 except per share amounts)</w:t>
            </w: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jc w:val="right"/>
              <w:ind w:right="271"/>
              <w:spacing w:after="0" w:line="112"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right"/>
              <w:ind w:right="311"/>
              <w:spacing w:after="0" w:line="112"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5780" w:type="dxa"/>
            <w:vAlign w:val="bottom"/>
            <w:tcBorders>
              <w:bottom w:val="single" w:sz="8" w:color="E0E7ED"/>
            </w:tcBorders>
            <w:vMerge w:val="continue"/>
          </w:tcPr>
          <w:p>
            <w:pPr>
              <w:spacing w:after="0"/>
              <w:rPr>
                <w:sz w:val="11"/>
                <w:szCs w:val="11"/>
                <w:color w:val="auto"/>
              </w:rPr>
            </w:pPr>
          </w:p>
        </w:tc>
        <w:tc>
          <w:tcPr>
            <w:tcW w:w="244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2025</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203"/>
        </w:trPr>
        <w:tc>
          <w:tcPr>
            <w:tcW w:w="57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Total assets (GAAP)</w:t>
            </w:r>
          </w:p>
        </w:tc>
        <w:tc>
          <w:tcPr>
            <w:tcW w:w="2440" w:type="dxa"/>
            <w:vAlign w:val="bottom"/>
            <w:shd w:val="clear" w:color="auto" w:fill="E0E7ED"/>
          </w:tcPr>
          <w:p>
            <w:pPr>
              <w:spacing w:after="0"/>
              <w:rPr>
                <w:sz w:val="17"/>
                <w:szCs w:val="17"/>
                <w:color w:val="auto"/>
              </w:rPr>
            </w:pPr>
          </w:p>
        </w:tc>
        <w:tc>
          <w:tcPr>
            <w:tcW w:w="300" w:type="dxa"/>
            <w:vAlign w:val="bottom"/>
            <w:shd w:val="clear" w:color="auto" w:fill="E0E7ED"/>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19,464,252</w:t>
            </w:r>
          </w:p>
        </w:tc>
        <w:tc>
          <w:tcPr>
            <w:tcW w:w="460" w:type="dxa"/>
            <w:vAlign w:val="bottom"/>
            <w:gridSpan w:val="3"/>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12,046,722</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Goodwill and other intangible assets, net</w:t>
            </w:r>
          </w:p>
        </w:tc>
        <w:tc>
          <w:tcPr>
            <w:tcW w:w="244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(496,118)</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(365,975)</w:t>
            </w:r>
          </w:p>
        </w:tc>
        <w:tc>
          <w:tcPr>
            <w:tcW w:w="0" w:type="dxa"/>
            <w:vAlign w:val="bottom"/>
          </w:tcPr>
          <w:p>
            <w:pPr>
              <w:spacing w:after="0"/>
              <w:rPr>
                <w:sz w:val="1"/>
                <w:szCs w:val="1"/>
                <w:color w:val="auto"/>
              </w:rPr>
            </w:pPr>
          </w:p>
        </w:tc>
      </w:tr>
      <w:tr>
        <w:trPr>
          <w:trHeight w:val="232"/>
        </w:trPr>
        <w:tc>
          <w:tcPr>
            <w:tcW w:w="5780" w:type="dxa"/>
            <w:vAlign w:val="bottom"/>
            <w:shd w:val="clear" w:color="auto" w:fill="E0E7ED"/>
          </w:tcPr>
          <w:p>
            <w:pPr>
              <w:ind w:left="20"/>
              <w:spacing w:after="0"/>
              <w:rPr>
                <w:sz w:val="20"/>
                <w:szCs w:val="20"/>
                <w:color w:val="auto"/>
              </w:rPr>
            </w:pPr>
            <w:r>
              <w:rPr>
                <w:rFonts w:ascii="Arial" w:cs="Arial" w:eastAsia="Arial" w:hAnsi="Arial"/>
                <w:sz w:val="14"/>
                <w:szCs w:val="14"/>
                <w:color w:val="auto"/>
              </w:rPr>
              <w:t>Tangible assets (Non-GAAP)</w:t>
            </w:r>
            <w:r>
              <w:rPr>
                <w:rFonts w:ascii="Arial" w:cs="Arial" w:eastAsia="Arial" w:hAnsi="Arial"/>
                <w:sz w:val="18"/>
                <w:szCs w:val="18"/>
                <w:color w:val="auto"/>
                <w:vertAlign w:val="superscript"/>
              </w:rPr>
              <w:t>1</w:t>
            </w:r>
          </w:p>
        </w:tc>
        <w:tc>
          <w:tcPr>
            <w:tcW w:w="2440" w:type="dxa"/>
            <w:vAlign w:val="bottom"/>
            <w:shd w:val="clear" w:color="auto" w:fill="E0E7ED"/>
          </w:tcPr>
          <w:p>
            <w:pPr>
              <w:ind w:left="1660"/>
              <w:spacing w:after="0"/>
              <w:rPr>
                <w:sz w:val="20"/>
                <w:szCs w:val="20"/>
                <w:color w:val="auto"/>
              </w:rPr>
            </w:pPr>
            <w:r>
              <w:rPr>
                <w:rFonts w:ascii="Arial" w:cs="Arial" w:eastAsia="Arial" w:hAnsi="Arial"/>
                <w:sz w:val="14"/>
                <w:szCs w:val="14"/>
                <w:color w:val="auto"/>
              </w:rPr>
              <w:t>[a]</w:t>
            </w:r>
          </w:p>
        </w:tc>
        <w:tc>
          <w:tcPr>
            <w:tcW w:w="300" w:type="dxa"/>
            <w:vAlign w:val="bottom"/>
            <w:shd w:val="clear" w:color="auto" w:fill="E0E7ED"/>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18,968,134</w:t>
            </w:r>
          </w:p>
        </w:tc>
        <w:tc>
          <w:tcPr>
            <w:tcW w:w="460" w:type="dxa"/>
            <w:vAlign w:val="bottom"/>
            <w:gridSpan w:val="3"/>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11,680,747</w:t>
            </w:r>
          </w:p>
        </w:tc>
        <w:tc>
          <w:tcPr>
            <w:tcW w:w="0" w:type="dxa"/>
            <w:vAlign w:val="bottom"/>
          </w:tcPr>
          <w:p>
            <w:pPr>
              <w:spacing w:after="0"/>
              <w:rPr>
                <w:sz w:val="1"/>
                <w:szCs w:val="1"/>
                <w:color w:val="auto"/>
              </w:rPr>
            </w:pPr>
          </w:p>
        </w:tc>
      </w:tr>
      <w:tr>
        <w:trPr>
          <w:trHeight w:val="20"/>
        </w:trPr>
        <w:tc>
          <w:tcPr>
            <w:tcW w:w="5780" w:type="dxa"/>
            <w:vAlign w:val="bottom"/>
            <w:tcBorders>
              <w:top w:val="single" w:sz="8" w:color="E0E7ED"/>
            </w:tcBorders>
          </w:tcPr>
          <w:p>
            <w:pPr>
              <w:spacing w:after="0" w:line="20" w:lineRule="exact"/>
              <w:rPr>
                <w:sz w:val="1"/>
                <w:szCs w:val="1"/>
                <w:color w:val="auto"/>
              </w:rPr>
            </w:pPr>
          </w:p>
        </w:tc>
        <w:tc>
          <w:tcPr>
            <w:tcW w:w="244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7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Total stockholders' equity (GAAP)</w:t>
            </w:r>
          </w:p>
        </w:tc>
        <w:tc>
          <w:tcPr>
            <w:tcW w:w="2440" w:type="dxa"/>
            <w:vAlign w:val="bottom"/>
            <w:shd w:val="clear" w:color="auto" w:fill="E0E7ED"/>
          </w:tcPr>
          <w:p>
            <w:pPr>
              <w:spacing w:after="0"/>
              <w:rPr>
                <w:sz w:val="18"/>
                <w:szCs w:val="18"/>
                <w:color w:val="auto"/>
              </w:rPr>
            </w:pPr>
          </w:p>
        </w:tc>
        <w:tc>
          <w:tcPr>
            <w:tcW w:w="300" w:type="dxa"/>
            <w:vAlign w:val="bottom"/>
            <w:shd w:val="clear" w:color="auto" w:fill="E0E7ED"/>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2,179,606</w:t>
            </w:r>
          </w:p>
        </w:tc>
        <w:tc>
          <w:tcPr>
            <w:tcW w:w="460" w:type="dxa"/>
            <w:vAlign w:val="bottom"/>
            <w:gridSpan w:val="3"/>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1,383,269</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Preferred stock and additional paid in capital on preferred stock</w:t>
            </w:r>
          </w:p>
        </w:tc>
        <w:tc>
          <w:tcPr>
            <w:tcW w:w="244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(7,750)</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5780" w:type="dxa"/>
            <w:vAlign w:val="bottom"/>
            <w:shd w:val="clear" w:color="auto" w:fill="E0E7ED"/>
          </w:tcPr>
          <w:p>
            <w:pPr>
              <w:ind w:left="20"/>
              <w:spacing w:after="0"/>
              <w:rPr>
                <w:sz w:val="20"/>
                <w:szCs w:val="20"/>
                <w:color w:val="auto"/>
              </w:rPr>
            </w:pPr>
            <w:r>
              <w:rPr>
                <w:rFonts w:ascii="Arial" w:cs="Arial" w:eastAsia="Arial" w:hAnsi="Arial"/>
                <w:sz w:val="14"/>
                <w:szCs w:val="14"/>
                <w:color w:val="auto"/>
              </w:rPr>
              <w:t>Common equity</w:t>
            </w:r>
          </w:p>
        </w:tc>
        <w:tc>
          <w:tcPr>
            <w:tcW w:w="2440" w:type="dxa"/>
            <w:vAlign w:val="bottom"/>
            <w:shd w:val="clear" w:color="auto" w:fill="E0E7ED"/>
          </w:tcPr>
          <w:p>
            <w:pPr>
              <w:ind w:left="1660"/>
              <w:spacing w:after="0"/>
              <w:rPr>
                <w:sz w:val="20"/>
                <w:szCs w:val="20"/>
                <w:color w:val="auto"/>
              </w:rPr>
            </w:pPr>
            <w:r>
              <w:rPr>
                <w:rFonts w:ascii="Arial" w:cs="Arial" w:eastAsia="Arial" w:hAnsi="Arial"/>
                <w:sz w:val="14"/>
                <w:szCs w:val="14"/>
                <w:color w:val="auto"/>
              </w:rPr>
              <w:t>[b]</w:t>
            </w:r>
          </w:p>
        </w:tc>
        <w:tc>
          <w:tcPr>
            <w:tcW w:w="30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2,171,856</w:t>
            </w:r>
          </w:p>
        </w:tc>
        <w:tc>
          <w:tcPr>
            <w:tcW w:w="1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1,383,269</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E0E7ED"/>
            </w:tcBorders>
          </w:tcPr>
          <w:p>
            <w:pPr>
              <w:ind w:left="140"/>
              <w:spacing w:after="0"/>
              <w:rPr>
                <w:sz w:val="20"/>
                <w:szCs w:val="20"/>
                <w:color w:val="auto"/>
              </w:rPr>
            </w:pPr>
            <w:r>
              <w:rPr>
                <w:rFonts w:ascii="Arial" w:cs="Arial" w:eastAsia="Arial" w:hAnsi="Arial"/>
                <w:sz w:val="14"/>
                <w:szCs w:val="14"/>
                <w:color w:val="auto"/>
              </w:rPr>
              <w:t>Goodwill and other intangible assets, net</w:t>
            </w:r>
          </w:p>
        </w:tc>
        <w:tc>
          <w:tcPr>
            <w:tcW w:w="244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(496,118)</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(365,975)</w:t>
            </w:r>
          </w:p>
        </w:tc>
        <w:tc>
          <w:tcPr>
            <w:tcW w:w="0" w:type="dxa"/>
            <w:vAlign w:val="bottom"/>
          </w:tcPr>
          <w:p>
            <w:pPr>
              <w:spacing w:after="0"/>
              <w:rPr>
                <w:sz w:val="1"/>
                <w:szCs w:val="1"/>
                <w:color w:val="auto"/>
              </w:rPr>
            </w:pPr>
          </w:p>
        </w:tc>
      </w:tr>
      <w:tr>
        <w:trPr>
          <w:trHeight w:val="232"/>
        </w:trPr>
        <w:tc>
          <w:tcPr>
            <w:tcW w:w="5780" w:type="dxa"/>
            <w:vAlign w:val="bottom"/>
            <w:shd w:val="clear" w:color="auto" w:fill="E0E7ED"/>
          </w:tcPr>
          <w:p>
            <w:pPr>
              <w:ind w:left="20"/>
              <w:spacing w:after="0"/>
              <w:rPr>
                <w:sz w:val="20"/>
                <w:szCs w:val="20"/>
                <w:color w:val="auto"/>
              </w:rPr>
            </w:pPr>
            <w:r>
              <w:rPr>
                <w:rFonts w:ascii="Arial" w:cs="Arial" w:eastAsia="Arial" w:hAnsi="Arial"/>
                <w:sz w:val="14"/>
                <w:szCs w:val="14"/>
                <w:color w:val="auto"/>
              </w:rPr>
              <w:t>Tangible common equity (Non-GAAP)</w:t>
            </w:r>
            <w:r>
              <w:rPr>
                <w:rFonts w:ascii="Arial" w:cs="Arial" w:eastAsia="Arial" w:hAnsi="Arial"/>
                <w:sz w:val="18"/>
                <w:szCs w:val="18"/>
                <w:color w:val="auto"/>
                <w:vertAlign w:val="superscript"/>
              </w:rPr>
              <w:t>1</w:t>
            </w:r>
          </w:p>
        </w:tc>
        <w:tc>
          <w:tcPr>
            <w:tcW w:w="2440" w:type="dxa"/>
            <w:vAlign w:val="bottom"/>
            <w:shd w:val="clear" w:color="auto" w:fill="E0E7ED"/>
          </w:tcPr>
          <w:p>
            <w:pPr>
              <w:ind w:left="1660"/>
              <w:spacing w:after="0"/>
              <w:rPr>
                <w:sz w:val="20"/>
                <w:szCs w:val="20"/>
                <w:color w:val="auto"/>
              </w:rPr>
            </w:pPr>
            <w:r>
              <w:rPr>
                <w:rFonts w:ascii="Arial" w:cs="Arial" w:eastAsia="Arial" w:hAnsi="Arial"/>
                <w:sz w:val="14"/>
                <w:szCs w:val="14"/>
                <w:color w:val="auto"/>
              </w:rPr>
              <w:t>[c]</w:t>
            </w:r>
          </w:p>
        </w:tc>
        <w:tc>
          <w:tcPr>
            <w:tcW w:w="300" w:type="dxa"/>
            <w:vAlign w:val="bottom"/>
            <w:shd w:val="clear" w:color="auto" w:fill="E0E7ED"/>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1,675,738</w:t>
            </w:r>
          </w:p>
        </w:tc>
        <w:tc>
          <w:tcPr>
            <w:tcW w:w="460" w:type="dxa"/>
            <w:vAlign w:val="bottom"/>
            <w:gridSpan w:val="3"/>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1,017,294</w:t>
            </w:r>
          </w:p>
        </w:tc>
        <w:tc>
          <w:tcPr>
            <w:tcW w:w="0" w:type="dxa"/>
            <w:vAlign w:val="bottom"/>
          </w:tcPr>
          <w:p>
            <w:pPr>
              <w:spacing w:after="0"/>
              <w:rPr>
                <w:sz w:val="1"/>
                <w:szCs w:val="1"/>
                <w:color w:val="auto"/>
              </w:rPr>
            </w:pPr>
          </w:p>
        </w:tc>
      </w:tr>
      <w:tr>
        <w:trPr>
          <w:trHeight w:val="20"/>
        </w:trPr>
        <w:tc>
          <w:tcPr>
            <w:tcW w:w="5780" w:type="dxa"/>
            <w:vAlign w:val="bottom"/>
            <w:tcBorders>
              <w:top w:val="single" w:sz="8" w:color="E0E7ED"/>
            </w:tcBorders>
          </w:tcPr>
          <w:p>
            <w:pPr>
              <w:spacing w:after="0" w:line="20" w:lineRule="exact"/>
              <w:rPr>
                <w:sz w:val="1"/>
                <w:szCs w:val="1"/>
                <w:color w:val="auto"/>
              </w:rPr>
            </w:pPr>
          </w:p>
        </w:tc>
        <w:tc>
          <w:tcPr>
            <w:tcW w:w="244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780" w:type="dxa"/>
            <w:vAlign w:val="bottom"/>
            <w:shd w:val="clear" w:color="auto" w:fill="E0E7ED"/>
          </w:tcPr>
          <w:p>
            <w:pPr>
              <w:ind w:left="20"/>
              <w:spacing w:after="0"/>
              <w:rPr>
                <w:sz w:val="20"/>
                <w:szCs w:val="20"/>
                <w:color w:val="auto"/>
              </w:rPr>
            </w:pPr>
            <w:r>
              <w:rPr>
                <w:rFonts w:ascii="Arial" w:cs="Arial" w:eastAsia="Arial" w:hAnsi="Arial"/>
                <w:sz w:val="14"/>
                <w:szCs w:val="14"/>
                <w:color w:val="auto"/>
              </w:rPr>
              <w:t>Tangible common equity to tangible assets (Non-GAAP)</w:t>
            </w:r>
            <w:r>
              <w:rPr>
                <w:rFonts w:ascii="Arial" w:cs="Arial" w:eastAsia="Arial" w:hAnsi="Arial"/>
                <w:sz w:val="18"/>
                <w:szCs w:val="18"/>
                <w:color w:val="auto"/>
                <w:vertAlign w:val="superscript"/>
              </w:rPr>
              <w:t>1</w:t>
            </w:r>
          </w:p>
        </w:tc>
        <w:tc>
          <w:tcPr>
            <w:tcW w:w="2440" w:type="dxa"/>
            <w:vAlign w:val="bottom"/>
            <w:shd w:val="clear" w:color="auto" w:fill="E0E7ED"/>
          </w:tcPr>
          <w:p>
            <w:pPr>
              <w:ind w:left="1660"/>
              <w:spacing w:after="0"/>
              <w:rPr>
                <w:sz w:val="20"/>
                <w:szCs w:val="20"/>
                <w:color w:val="auto"/>
              </w:rPr>
            </w:pPr>
            <w:r>
              <w:rPr>
                <w:rFonts w:ascii="Arial" w:cs="Arial" w:eastAsia="Arial" w:hAnsi="Arial"/>
                <w:sz w:val="14"/>
                <w:szCs w:val="14"/>
                <w:color w:val="auto"/>
              </w:rPr>
              <w:t>[c÷a]</w:t>
            </w:r>
          </w:p>
        </w:tc>
        <w:tc>
          <w:tcPr>
            <w:tcW w:w="300" w:type="dxa"/>
            <w:vAlign w:val="bottom"/>
            <w:shd w:val="clear" w:color="auto" w:fill="E0E7ED"/>
          </w:tcPr>
          <w:p>
            <w:pPr>
              <w:spacing w:after="0"/>
              <w:rPr>
                <w:sz w:val="18"/>
                <w:szCs w:val="18"/>
                <w:color w:val="auto"/>
              </w:rPr>
            </w:pPr>
          </w:p>
        </w:tc>
        <w:tc>
          <w:tcPr>
            <w:tcW w:w="120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8.83 %</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8.71 %</w:t>
            </w:r>
          </w:p>
        </w:tc>
        <w:tc>
          <w:tcPr>
            <w:tcW w:w="0" w:type="dxa"/>
            <w:vAlign w:val="bottom"/>
          </w:tcPr>
          <w:p>
            <w:pPr>
              <w:spacing w:after="0"/>
              <w:rPr>
                <w:sz w:val="1"/>
                <w:szCs w:val="1"/>
                <w:color w:val="auto"/>
              </w:rPr>
            </w:pPr>
          </w:p>
        </w:tc>
      </w:tr>
      <w:tr>
        <w:trPr>
          <w:trHeight w:val="212"/>
        </w:trPr>
        <w:tc>
          <w:tcPr>
            <w:tcW w:w="5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Ending number of common shares outstanding (GAAP)</w:t>
            </w:r>
          </w:p>
        </w:tc>
        <w:tc>
          <w:tcPr>
            <w:tcW w:w="2440" w:type="dxa"/>
            <w:vAlign w:val="bottom"/>
            <w:shd w:val="clear" w:color="auto" w:fill="E0E7ED"/>
          </w:tcPr>
          <w:p>
            <w:pPr>
              <w:ind w:left="1660"/>
              <w:spacing w:after="0"/>
              <w:rPr>
                <w:sz w:val="20"/>
                <w:szCs w:val="20"/>
                <w:color w:val="auto"/>
              </w:rPr>
            </w:pPr>
            <w:r>
              <w:rPr>
                <w:rFonts w:ascii="Arial" w:cs="Arial" w:eastAsia="Arial" w:hAnsi="Arial"/>
                <w:sz w:val="14"/>
                <w:szCs w:val="14"/>
                <w:color w:val="auto"/>
              </w:rPr>
              <w:t>[d]</w:t>
            </w:r>
          </w:p>
        </w:tc>
        <w:tc>
          <w:tcPr>
            <w:tcW w:w="30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90,008,178</w:t>
            </w:r>
          </w:p>
        </w:tc>
        <w:tc>
          <w:tcPr>
            <w:tcW w:w="1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56,895,981</w:t>
            </w:r>
          </w:p>
        </w:tc>
        <w:tc>
          <w:tcPr>
            <w:tcW w:w="0" w:type="dxa"/>
            <w:vAlign w:val="bottom"/>
          </w:tcPr>
          <w:p>
            <w:pPr>
              <w:spacing w:after="0"/>
              <w:rPr>
                <w:sz w:val="1"/>
                <w:szCs w:val="1"/>
                <w:color w:val="auto"/>
              </w:rPr>
            </w:pPr>
          </w:p>
        </w:tc>
      </w:tr>
      <w:tr>
        <w:trPr>
          <w:trHeight w:val="202"/>
        </w:trPr>
        <w:tc>
          <w:tcPr>
            <w:tcW w:w="5780" w:type="dxa"/>
            <w:vAlign w:val="bottom"/>
          </w:tcPr>
          <w:p>
            <w:pPr>
              <w:ind w:left="20"/>
              <w:spacing w:after="0"/>
              <w:rPr>
                <w:sz w:val="20"/>
                <w:szCs w:val="20"/>
                <w:color w:val="auto"/>
              </w:rPr>
            </w:pPr>
            <w:r>
              <w:rPr>
                <w:rFonts w:ascii="Arial" w:cs="Arial" w:eastAsia="Arial" w:hAnsi="Arial"/>
                <w:sz w:val="14"/>
                <w:szCs w:val="14"/>
                <w:color w:val="auto"/>
              </w:rPr>
              <w:t>Book value per common share (Non-GAAP)</w:t>
            </w:r>
          </w:p>
        </w:tc>
        <w:tc>
          <w:tcPr>
            <w:tcW w:w="2440" w:type="dxa"/>
            <w:vAlign w:val="bottom"/>
          </w:tcPr>
          <w:p>
            <w:pPr>
              <w:ind w:left="1660"/>
              <w:spacing w:after="0"/>
              <w:rPr>
                <w:sz w:val="20"/>
                <w:szCs w:val="20"/>
                <w:color w:val="auto"/>
              </w:rPr>
            </w:pPr>
            <w:r>
              <w:rPr>
                <w:rFonts w:ascii="Arial" w:cs="Arial" w:eastAsia="Arial" w:hAnsi="Arial"/>
                <w:sz w:val="14"/>
                <w:szCs w:val="14"/>
                <w:color w:val="auto"/>
              </w:rPr>
              <w:t>[b÷d]</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24.13</w:t>
            </w:r>
          </w:p>
        </w:tc>
        <w:tc>
          <w:tcPr>
            <w:tcW w:w="4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24.31</w:t>
            </w:r>
          </w:p>
        </w:tc>
        <w:tc>
          <w:tcPr>
            <w:tcW w:w="0" w:type="dxa"/>
            <w:vAlign w:val="bottom"/>
          </w:tcPr>
          <w:p>
            <w:pPr>
              <w:spacing w:after="0"/>
              <w:rPr>
                <w:sz w:val="1"/>
                <w:szCs w:val="1"/>
                <w:color w:val="auto"/>
              </w:rPr>
            </w:pPr>
          </w:p>
        </w:tc>
      </w:tr>
      <w:tr>
        <w:trPr>
          <w:trHeight w:val="222"/>
        </w:trPr>
        <w:tc>
          <w:tcPr>
            <w:tcW w:w="5780" w:type="dxa"/>
            <w:vAlign w:val="bottom"/>
            <w:shd w:val="clear" w:color="auto" w:fill="E0E7ED"/>
          </w:tcPr>
          <w:p>
            <w:pPr>
              <w:ind w:left="20"/>
              <w:spacing w:after="0"/>
              <w:rPr>
                <w:sz w:val="20"/>
                <w:szCs w:val="20"/>
                <w:color w:val="auto"/>
              </w:rPr>
            </w:pPr>
            <w:r>
              <w:rPr>
                <w:rFonts w:ascii="Arial" w:cs="Arial" w:eastAsia="Arial" w:hAnsi="Arial"/>
                <w:sz w:val="14"/>
                <w:szCs w:val="14"/>
                <w:color w:val="auto"/>
              </w:rPr>
              <w:t>Tangible book value per common share (Non-GAAP)</w:t>
            </w:r>
          </w:p>
        </w:tc>
        <w:tc>
          <w:tcPr>
            <w:tcW w:w="2440" w:type="dxa"/>
            <w:vAlign w:val="bottom"/>
            <w:shd w:val="clear" w:color="auto" w:fill="E0E7ED"/>
          </w:tcPr>
          <w:p>
            <w:pPr>
              <w:ind w:left="1660"/>
              <w:spacing w:after="0"/>
              <w:rPr>
                <w:sz w:val="20"/>
                <w:szCs w:val="20"/>
                <w:color w:val="auto"/>
              </w:rPr>
            </w:pPr>
            <w:r>
              <w:rPr>
                <w:rFonts w:ascii="Arial" w:cs="Arial" w:eastAsia="Arial" w:hAnsi="Arial"/>
                <w:sz w:val="14"/>
                <w:szCs w:val="14"/>
                <w:color w:val="auto"/>
              </w:rPr>
              <w:t>[c÷d]</w:t>
            </w:r>
          </w:p>
        </w:tc>
        <w:tc>
          <w:tcPr>
            <w:tcW w:w="300" w:type="dxa"/>
            <w:vAlign w:val="bottom"/>
            <w:shd w:val="clear" w:color="auto" w:fill="E0E7ED"/>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18.62</w:t>
            </w:r>
          </w:p>
        </w:tc>
        <w:tc>
          <w:tcPr>
            <w:tcW w:w="460" w:type="dxa"/>
            <w:vAlign w:val="bottom"/>
            <w:gridSpan w:val="3"/>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0E7ED"/>
          </w:tcPr>
          <w:p>
            <w:pPr>
              <w:jc w:val="right"/>
              <w:ind w:right="111"/>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w:t>
      </w:r>
    </w:p>
    <w:p>
      <w:pPr>
        <w:spacing w:after="0" w:line="21" w:lineRule="exact"/>
        <w:rPr>
          <w:sz w:val="20"/>
          <w:szCs w:val="20"/>
          <w:color w:val="auto"/>
        </w:rPr>
      </w:pPr>
    </w:p>
    <w:p>
      <w:pPr>
        <w:ind w:left="400" w:hanging="268"/>
        <w:spacing w:after="0"/>
        <w:tabs>
          <w:tab w:leader="none" w:pos="4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Beginning in 2025, Busey revised its calculation of tangible assets and tangible common equity for all periods presented to exclude any tax adjustment.</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93" w:name="page94"/>
    <w:bookmarkEnd w:id="93"/>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NON-GAAP FINANCIAL MEASURES (Unaudited)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Core Deposits and Related Ratio</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As of</w:t>
            </w:r>
          </w:p>
        </w:tc>
        <w:tc>
          <w:tcPr>
            <w:tcW w:w="1240" w:type="dxa"/>
            <w:vAlign w:val="bottom"/>
            <w:tcBorders>
              <w:bottom w:val="single" w:sz="8" w:color="auto"/>
            </w:tcBorders>
          </w:tcPr>
          <w:p>
            <w:pPr>
              <w:spacing w:after="0"/>
              <w:rPr>
                <w:sz w:val="12"/>
                <w:szCs w:val="12"/>
                <w:color w:val="auto"/>
              </w:rPr>
            </w:pPr>
          </w:p>
        </w:tc>
      </w:tr>
      <w:tr>
        <w:trPr>
          <w:trHeight w:val="112"/>
        </w:trPr>
        <w:tc>
          <w:tcPr>
            <w:tcW w:w="6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jc w:val="right"/>
              <w:ind w:right="273"/>
              <w:spacing w:after="0" w:line="112"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right"/>
              <w:ind w:right="313"/>
              <w:spacing w:after="0" w:line="112" w:lineRule="exact"/>
              <w:rPr>
                <w:sz w:val="20"/>
                <w:szCs w:val="20"/>
                <w:color w:val="auto"/>
              </w:rPr>
            </w:pPr>
            <w:r>
              <w:rPr>
                <w:rFonts w:ascii="Arial" w:cs="Arial" w:eastAsia="Arial" w:hAnsi="Arial"/>
                <w:sz w:val="11"/>
                <w:szCs w:val="11"/>
                <w:b w:val="1"/>
                <w:bCs w:val="1"/>
                <w:color w:val="auto"/>
              </w:rPr>
              <w:t>December 31,</w:t>
            </w:r>
          </w:p>
        </w:tc>
      </w:tr>
      <w:tr>
        <w:trPr>
          <w:trHeight w:val="134"/>
        </w:trPr>
        <w:tc>
          <w:tcPr>
            <w:tcW w:w="6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ind w:right="413"/>
              <w:spacing w:after="0"/>
              <w:rPr>
                <w:sz w:val="20"/>
                <w:szCs w:val="20"/>
                <w:color w:val="auto"/>
              </w:rPr>
            </w:pPr>
            <w:r>
              <w:rPr>
                <w:rFonts w:ascii="Arial" w:cs="Arial" w:eastAsia="Arial" w:hAnsi="Arial"/>
                <w:sz w:val="11"/>
                <w:szCs w:val="11"/>
                <w:b w:val="1"/>
                <w:bCs w:val="1"/>
                <w:color w:val="auto"/>
              </w:rPr>
              <w:t>2025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553"/>
              <w:spacing w:after="0"/>
              <w:rPr>
                <w:sz w:val="20"/>
                <w:szCs w:val="20"/>
                <w:color w:val="auto"/>
              </w:rPr>
            </w:pPr>
            <w:r>
              <w:rPr>
                <w:rFonts w:ascii="Arial" w:cs="Arial" w:eastAsia="Arial" w:hAnsi="Arial"/>
                <w:sz w:val="11"/>
                <w:szCs w:val="11"/>
                <w:b w:val="1"/>
                <w:bCs w:val="1"/>
                <w:color w:val="auto"/>
              </w:rPr>
              <w:t>2024</w:t>
            </w:r>
          </w:p>
        </w:tc>
      </w:tr>
      <w:tr>
        <w:trPr>
          <w:trHeight w:val="212"/>
        </w:trPr>
        <w:tc>
          <w:tcPr>
            <w:tcW w:w="61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Total deposits (GAAP)</w:t>
            </w:r>
          </w:p>
        </w:tc>
        <w:tc>
          <w:tcPr>
            <w:tcW w:w="2120" w:type="dxa"/>
            <w:vAlign w:val="bottom"/>
            <w:shd w:val="clear" w:color="auto" w:fill="E0E7ED"/>
          </w:tcPr>
          <w:p>
            <w:pPr>
              <w:ind w:left="1340"/>
              <w:spacing w:after="0"/>
              <w:rPr>
                <w:sz w:val="20"/>
                <w:szCs w:val="20"/>
                <w:color w:val="auto"/>
              </w:rPr>
            </w:pPr>
            <w:r>
              <w:rPr>
                <w:rFonts w:ascii="Arial" w:cs="Arial" w:eastAsia="Arial" w:hAnsi="Arial"/>
                <w:sz w:val="14"/>
                <w:szCs w:val="14"/>
                <w:color w:val="auto"/>
              </w:rPr>
              <w:t>[a]</w:t>
            </w:r>
          </w:p>
        </w:tc>
        <w:tc>
          <w:tcPr>
            <w:tcW w:w="300" w:type="dxa"/>
            <w:vAlign w:val="bottom"/>
            <w:shd w:val="clear" w:color="auto" w:fill="E0E7ED"/>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16,459,470</w:t>
            </w:r>
          </w:p>
        </w:tc>
        <w:tc>
          <w:tcPr>
            <w:tcW w:w="460" w:type="dxa"/>
            <w:vAlign w:val="bottom"/>
            <w:gridSpan w:val="3"/>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0E7ED"/>
          </w:tcPr>
          <w:p>
            <w:pPr>
              <w:jc w:val="right"/>
              <w:ind w:right="113"/>
              <w:spacing w:after="0"/>
              <w:rPr>
                <w:sz w:val="20"/>
                <w:szCs w:val="20"/>
                <w:color w:val="auto"/>
              </w:rPr>
            </w:pPr>
            <w:r>
              <w:rPr>
                <w:rFonts w:ascii="Arial" w:cs="Arial" w:eastAsia="Arial" w:hAnsi="Arial"/>
                <w:sz w:val="14"/>
                <w:szCs w:val="14"/>
                <w:color w:val="auto"/>
              </w:rPr>
              <w:t>9,982,490</w:t>
            </w:r>
          </w:p>
        </w:tc>
      </w:tr>
      <w:tr>
        <w:trPr>
          <w:trHeight w:val="202"/>
        </w:trPr>
        <w:tc>
          <w:tcPr>
            <w:tcW w:w="6100" w:type="dxa"/>
            <w:vAlign w:val="bottom"/>
          </w:tcPr>
          <w:p>
            <w:pPr>
              <w:ind w:left="140"/>
              <w:spacing w:after="0"/>
              <w:rPr>
                <w:sz w:val="20"/>
                <w:szCs w:val="20"/>
                <w:color w:val="auto"/>
              </w:rPr>
            </w:pPr>
            <w:r>
              <w:rPr>
                <w:rFonts w:ascii="Arial" w:cs="Arial" w:eastAsia="Arial" w:hAnsi="Arial"/>
                <w:sz w:val="14"/>
                <w:szCs w:val="14"/>
                <w:color w:val="auto"/>
              </w:rPr>
              <w:t>Brokered deposits, excluding brokered time deposits of $250,000 or more</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(722,224)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73"/>
              <w:spacing w:after="0"/>
              <w:rPr>
                <w:sz w:val="20"/>
                <w:szCs w:val="20"/>
                <w:color w:val="auto"/>
              </w:rPr>
            </w:pPr>
            <w:r>
              <w:rPr>
                <w:rFonts w:ascii="Arial" w:cs="Arial" w:eastAsia="Arial" w:hAnsi="Arial"/>
                <w:sz w:val="14"/>
                <w:szCs w:val="14"/>
                <w:color w:val="auto"/>
              </w:rPr>
              <w:t>(13,090)</w:t>
            </w:r>
          </w:p>
        </w:tc>
      </w:tr>
      <w:tr>
        <w:trPr>
          <w:trHeight w:val="213"/>
        </w:trPr>
        <w:tc>
          <w:tcPr>
            <w:tcW w:w="6100" w:type="dxa"/>
            <w:vAlign w:val="bottom"/>
            <w:shd w:val="clear" w:color="auto" w:fill="E0E7ED"/>
          </w:tcPr>
          <w:p>
            <w:pPr>
              <w:ind w:left="140"/>
              <w:spacing w:after="0"/>
              <w:rPr>
                <w:sz w:val="20"/>
                <w:szCs w:val="20"/>
                <w:color w:val="auto"/>
              </w:rPr>
            </w:pPr>
            <w:r>
              <w:rPr>
                <w:rFonts w:ascii="Arial" w:cs="Arial" w:eastAsia="Arial" w:hAnsi="Arial"/>
                <w:sz w:val="14"/>
                <w:szCs w:val="14"/>
                <w:color w:val="auto"/>
              </w:rPr>
              <w:t>Time deposits of $250,000 or more</w:t>
            </w:r>
          </w:p>
        </w:tc>
        <w:tc>
          <w:tcPr>
            <w:tcW w:w="212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(867,035)</w:t>
            </w:r>
          </w:p>
        </w:tc>
        <w:tc>
          <w:tcPr>
            <w:tcW w:w="140" w:type="dxa"/>
            <w:vAlign w:val="bottom"/>
            <w:tcBorders>
              <w:bottom w:val="single" w:sz="8" w:color="auto"/>
            </w:tcBorders>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1240" w:type="dxa"/>
            <w:vAlign w:val="bottom"/>
            <w:tcBorders>
              <w:bottom w:val="single" w:sz="8" w:color="auto"/>
            </w:tcBorders>
            <w:shd w:val="clear" w:color="auto" w:fill="E0E7ED"/>
          </w:tcPr>
          <w:p>
            <w:pPr>
              <w:jc w:val="right"/>
              <w:ind w:right="73"/>
              <w:spacing w:after="0"/>
              <w:rPr>
                <w:sz w:val="20"/>
                <w:szCs w:val="20"/>
                <w:color w:val="auto"/>
              </w:rPr>
            </w:pPr>
            <w:r>
              <w:rPr>
                <w:rFonts w:ascii="Arial" w:cs="Arial" w:eastAsia="Arial" w:hAnsi="Arial"/>
                <w:sz w:val="14"/>
                <w:szCs w:val="14"/>
                <w:color w:val="auto"/>
              </w:rPr>
              <w:t>(334,503)</w:t>
            </w:r>
          </w:p>
        </w:tc>
      </w:tr>
      <w:tr>
        <w:trPr>
          <w:trHeight w:val="212"/>
        </w:trPr>
        <w:tc>
          <w:tcPr>
            <w:tcW w:w="6100" w:type="dxa"/>
            <w:vAlign w:val="bottom"/>
          </w:tcPr>
          <w:p>
            <w:pPr>
              <w:ind w:left="20"/>
              <w:spacing w:after="0"/>
              <w:rPr>
                <w:sz w:val="20"/>
                <w:szCs w:val="20"/>
                <w:color w:val="auto"/>
              </w:rPr>
            </w:pPr>
            <w:r>
              <w:rPr>
                <w:rFonts w:ascii="Arial" w:cs="Arial" w:eastAsia="Arial" w:hAnsi="Arial"/>
                <w:sz w:val="14"/>
                <w:szCs w:val="14"/>
                <w:color w:val="auto"/>
              </w:rPr>
              <w:t>Core deposits (Non-GAAP)</w:t>
            </w:r>
          </w:p>
        </w:tc>
        <w:tc>
          <w:tcPr>
            <w:tcW w:w="2120" w:type="dxa"/>
            <w:vAlign w:val="bottom"/>
          </w:tcPr>
          <w:p>
            <w:pPr>
              <w:ind w:left="1340"/>
              <w:spacing w:after="0"/>
              <w:rPr>
                <w:sz w:val="20"/>
                <w:szCs w:val="20"/>
                <w:color w:val="auto"/>
              </w:rPr>
            </w:pPr>
            <w:r>
              <w:rPr>
                <w:rFonts w:ascii="Arial" w:cs="Arial" w:eastAsia="Arial" w:hAnsi="Arial"/>
                <w:sz w:val="14"/>
                <w:szCs w:val="14"/>
                <w:color w:val="auto"/>
              </w:rPr>
              <w:t>[b]</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14,870,211</w:t>
            </w:r>
          </w:p>
        </w:tc>
        <w:tc>
          <w:tcPr>
            <w:tcW w:w="4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3"/>
              <w:spacing w:after="0"/>
              <w:rPr>
                <w:sz w:val="20"/>
                <w:szCs w:val="20"/>
                <w:color w:val="auto"/>
              </w:rPr>
            </w:pPr>
            <w:r>
              <w:rPr>
                <w:rFonts w:ascii="Arial" w:cs="Arial" w:eastAsia="Arial" w:hAnsi="Arial"/>
                <w:sz w:val="14"/>
                <w:szCs w:val="14"/>
                <w:color w:val="auto"/>
              </w:rPr>
              <w:t>9,634,897</w:t>
            </w:r>
          </w:p>
        </w:tc>
      </w:tr>
      <w:tr>
        <w:trPr>
          <w:trHeight w:val="20"/>
        </w:trPr>
        <w:tc>
          <w:tcPr>
            <w:tcW w:w="6100" w:type="dxa"/>
            <w:vAlign w:val="bottom"/>
            <w:tcBorders>
              <w:bottom w:val="single" w:sz="8" w:color="E0E7ED"/>
            </w:tcBorders>
          </w:tcPr>
          <w:p>
            <w:pPr>
              <w:spacing w:after="0" w:line="20" w:lineRule="exact"/>
              <w:rPr>
                <w:sz w:val="1"/>
                <w:szCs w:val="1"/>
                <w:color w:val="auto"/>
              </w:rPr>
            </w:pPr>
          </w:p>
        </w:tc>
        <w:tc>
          <w:tcPr>
            <w:tcW w:w="2120" w:type="dxa"/>
            <w:vAlign w:val="bottom"/>
            <w:tcBorders>
              <w:bottom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6100" w:type="dxa"/>
            <w:vAlign w:val="bottom"/>
            <w:shd w:val="clear" w:color="auto" w:fill="E0E7ED"/>
          </w:tcPr>
          <w:p>
            <w:pPr>
              <w:spacing w:after="0"/>
              <w:rPr>
                <w:sz w:val="15"/>
                <w:szCs w:val="15"/>
                <w:color w:val="auto"/>
              </w:rPr>
            </w:pPr>
          </w:p>
        </w:tc>
        <w:tc>
          <w:tcPr>
            <w:tcW w:w="212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r>
      <w:tr>
        <w:trPr>
          <w:trHeight w:val="193"/>
        </w:trPr>
        <w:tc>
          <w:tcPr>
            <w:tcW w:w="6100" w:type="dxa"/>
            <w:vAlign w:val="bottom"/>
          </w:tcPr>
          <w:p>
            <w:pPr>
              <w:ind w:left="20"/>
              <w:spacing w:after="0"/>
              <w:rPr>
                <w:sz w:val="20"/>
                <w:szCs w:val="20"/>
                <w:color w:val="auto"/>
              </w:rPr>
            </w:pPr>
            <w:r>
              <w:rPr>
                <w:rFonts w:ascii="Arial" w:cs="Arial" w:eastAsia="Arial" w:hAnsi="Arial"/>
                <w:sz w:val="14"/>
                <w:szCs w:val="14"/>
                <w:color w:val="auto"/>
              </w:rPr>
              <w:t>Core deposits to total deposits (Non-GAAP)</w:t>
            </w:r>
          </w:p>
        </w:tc>
        <w:tc>
          <w:tcPr>
            <w:tcW w:w="2120" w:type="dxa"/>
            <w:vAlign w:val="bottom"/>
          </w:tcPr>
          <w:p>
            <w:pPr>
              <w:ind w:left="1340"/>
              <w:spacing w:after="0"/>
              <w:rPr>
                <w:sz w:val="20"/>
                <w:szCs w:val="20"/>
                <w:color w:val="auto"/>
              </w:rPr>
            </w:pPr>
            <w:r>
              <w:rPr>
                <w:rFonts w:ascii="Arial" w:cs="Arial" w:eastAsia="Arial" w:hAnsi="Arial"/>
                <w:sz w:val="14"/>
                <w:szCs w:val="14"/>
                <w:color w:val="auto"/>
              </w:rPr>
              <w:t>[b÷a]</w:t>
            </w:r>
          </w:p>
        </w:tc>
        <w:tc>
          <w:tcPr>
            <w:tcW w:w="30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90.34 %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96.52 %</w:t>
            </w:r>
          </w:p>
        </w:tc>
      </w:tr>
    </w:tbl>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94" w:name="page95"/>
    <w:bookmarkEnd w:id="94"/>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This Quarterly Report may contain “forward-looking statements” within the meaning of the Private Securities Litigation Reform Act of 1995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“position,” or other similar expressions. Additionally, all statements in this document, including forward-looking statements, speak only as of the date they are made, and Busey undertakes no obligation to update any statement in light of new information or future events.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A number of factors, many of which are beyond Busey’s ability to control or predict, could cause actual results to differ materially from those in any forward-looking statements.</w:t>
      </w:r>
    </w:p>
    <w:p>
      <w:pPr>
        <w:spacing w:after="0" w:line="1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These factors include, among others, the following: (1) the strength of the local, state, national, and international economies and financial markets (including effects of inflationary pressures, the threat or implementation of tariffs, trade wars, and changes to immigration policy); (2) changes in, and the interpretation and prioritization of, local, state, and federal</w:t>
      </w:r>
    </w:p>
    <w:p>
      <w:pPr>
        <w:jc w:val="both"/>
        <w:spacing w:after="0" w:line="237" w:lineRule="auto"/>
        <w:rPr>
          <w:sz w:val="20"/>
          <w:szCs w:val="20"/>
          <w:color w:val="auto"/>
        </w:rPr>
      </w:pPr>
      <w:r>
        <w:rPr>
          <w:rFonts w:ascii="Arial" w:cs="Arial" w:eastAsia="Arial" w:hAnsi="Arial"/>
          <w:sz w:val="14"/>
          <w:szCs w:val="14"/>
          <w:color w:val="auto"/>
        </w:rPr>
        <w:t>laws, regulations, and governmental policies (including those concerning Busey's general business); (3) the economic impact of any future terrorist threats or attacks, widespread disease or pandemics, or other adverse external events that could cause economic deterioration or instability in credit markets (including Russia’s invasion of Ukraine and the conflict in the Middle East); (4) unexpected results of acquisitions, including the acquisition of CrossFirst, which may include the failure to realize the anticipated benefits of the acquisitions and the possibility that the transaction and integration costs may be greater than anticipated; (5) the imposition of tariffs or other governmental policies impacting the value of products produced by Busey's commercial borrowers; (6) new or revised accounting policies and practices as may be adopted by state and federal regulatory banking agencies, the Financial Accounting Standards Board, the Securities and Exchange Commission, or the Public Company Accounting Oversight Board; (7) changes in interest rates and prepayment rates of Busey’s assets (including the impact of sustained elevated interest rates); (8) increased competition in the financial services sector (including from non-bank competitors such as credit unions and fintech companies) and the inability to attract new customers; (9) changes in technology and the ability to develop and maintain secure and reliable electronic systems; (10) the loss of key executives or associates, talent shortages, and employee turnover; (11) unexpected outcomes and costs of existing or new litigation, investigations, or other legal proceedings, inquiries, and regulatory actions involving Busey (including with respect to Busey’s Illinois franchise taxes); (12) fluctuations in the value of securities held in Busey’s securities portfolio, including as a result of changes in interest rates; (13) credit risk and risk from concentrations (by type of borrower,</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geographic area, collateral, and industry), within Busey's loan portfolio and large loans to certain borrowers (including commercial real estate loans); (14) the concentration of large deposits from certain clients who have balances above current Federal Deposit Insurance Corporation insurance limits and may withdraw deposits to diversify their exposure;</w:t>
      </w:r>
    </w:p>
    <w:p>
      <w:pPr>
        <w:ind w:left="320" w:hanging="315"/>
        <w:spacing w:after="0" w:line="237"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level of non-performing assets on Busey’s balance sheets; (16) interruptions involving information technology and communications systems or third-party servicers;</w:t>
      </w:r>
    </w:p>
    <w:p>
      <w:pPr>
        <w:jc w:val="both"/>
        <w:ind w:firstLine="5"/>
        <w:spacing w:after="0" w:line="241" w:lineRule="auto"/>
        <w:tabs>
          <w:tab w:leader="none" w:pos="3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breaches or failures of information security controls or cybersecurity-related incidents; (18) the economic impact on Busey and its customers of climate change, natural disasters, and exceptional weather occurrences such as tornadoes, hurricanes, floods, blizzards, and droughts; (19) the ability to successfully manage liquidity risk, which may increase dependence on non-core funding sources such as brokered deposits, and may negatively impact Busey's cost of funds; (20) the ability to maintain an adequate level of allowance for credit losses on loans; (21) the effectiveness of Busey’s risk management framework; and (22) the ability of Busey to manage the risks associated with the foregoing. These risks and uncertainties should be considered in evaluating forward-looking statements and undue reliance should not be placed on such statements.</w:t>
      </w:r>
    </w:p>
    <w:p>
      <w:pPr>
        <w:spacing w:after="0" w:line="122" w:lineRule="exact"/>
        <w:rPr>
          <w:sz w:val="20"/>
          <w:szCs w:val="20"/>
          <w:color w:val="auto"/>
        </w:rPr>
      </w:pPr>
    </w:p>
    <w:p>
      <w:pPr>
        <w:spacing w:after="0" w:line="290" w:lineRule="auto"/>
        <w:rPr>
          <w:rFonts w:ascii="Arial" w:cs="Arial" w:eastAsia="Arial" w:hAnsi="Arial"/>
          <w:sz w:val="14"/>
          <w:szCs w:val="14"/>
          <w:color w:val="auto"/>
        </w:rPr>
      </w:pPr>
      <w:r>
        <w:rPr>
          <w:rFonts w:ascii="Arial" w:cs="Arial" w:eastAsia="Arial" w:hAnsi="Arial"/>
          <w:sz w:val="14"/>
          <w:szCs w:val="14"/>
          <w:color w:val="auto"/>
        </w:rPr>
        <w:t xml:space="preserve">Additional information concerning Busey and its business, including additional factors that could materially affect Busey’s financial results, is included in Busey’s filings with the Securities and Exchange Commission including </w:t>
      </w:r>
      <w:hyperlink r:id="rId90">
        <w:r>
          <w:rPr>
            <w:rFonts w:ascii="Arial" w:cs="Arial" w:eastAsia="Arial" w:hAnsi="Arial"/>
            <w:sz w:val="14"/>
            <w:szCs w:val="14"/>
            <w:u w:val="single" w:color="auto"/>
            <w:color w:val="0000FF"/>
          </w:rPr>
          <w:t>Busey’s 2024 Annual Report</w:t>
        </w:r>
      </w:hyperlink>
      <w:r>
        <w:rPr>
          <w:rFonts w:ascii="Arial" w:cs="Arial" w:eastAsia="Arial" w:hAnsi="Arial"/>
          <w:sz w:val="14"/>
          <w:szCs w:val="14"/>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Busey has established various accounting policies that govern the application of GAAP in the preparation of its unaudited consolidated financial statements. Significant accounting</w:t>
      </w:r>
    </w:p>
    <w:p>
      <w:pPr>
        <w:spacing w:after="0" w:line="23"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policies are described in </w:t>
      </w:r>
      <w:r>
        <w:rPr>
          <w:rFonts w:ascii="Arial" w:cs="Arial" w:eastAsia="Arial" w:hAnsi="Arial"/>
          <w:sz w:val="14"/>
          <w:szCs w:val="14"/>
          <w:i w:val="1"/>
          <w:iCs w:val="1"/>
          <w:color w:val="auto"/>
        </w:rPr>
        <w:t>“</w:t>
      </w:r>
      <w:hyperlink r:id="rId144">
        <w:r>
          <w:rPr>
            <w:rFonts w:ascii="Arial" w:cs="Arial" w:eastAsia="Arial" w:hAnsi="Arial"/>
            <w:sz w:val="14"/>
            <w:szCs w:val="14"/>
            <w:i w:val="1"/>
            <w:iCs w:val="1"/>
            <w:u w:val="single" w:color="auto"/>
            <w:color w:val="0000FF"/>
          </w:rPr>
          <w:t>Note 1. Significant Accounting Policies</w:t>
        </w:r>
      </w:hyperlink>
      <w:r>
        <w:rPr>
          <w:rFonts w:ascii="Arial" w:cs="Arial" w:eastAsia="Arial" w:hAnsi="Arial"/>
          <w:sz w:val="14"/>
          <w:szCs w:val="14"/>
          <w:i w:val="1"/>
          <w:iCs w:val="1"/>
          <w:color w:val="auto"/>
        </w:rPr>
        <w:t>”</w:t>
      </w:r>
      <w:r>
        <w:rPr>
          <w:rFonts w:ascii="Arial" w:cs="Arial" w:eastAsia="Arial" w:hAnsi="Arial"/>
          <w:sz w:val="14"/>
          <w:szCs w:val="14"/>
          <w:color w:val="auto"/>
        </w:rPr>
        <w:t xml:space="preserve"> of </w:t>
      </w:r>
      <w:hyperlink r:id="rId90">
        <w:r>
          <w:rPr>
            <w:rFonts w:ascii="Arial" w:cs="Arial" w:eastAsia="Arial" w:hAnsi="Arial"/>
            <w:sz w:val="14"/>
            <w:szCs w:val="14"/>
            <w:u w:val="single" w:color="auto"/>
            <w:color w:val="0000FF"/>
          </w:rPr>
          <w:t>Busey’s 2024 Annual Report</w:t>
        </w:r>
      </w:hyperlink>
      <w:r>
        <w:rPr>
          <w:rFonts w:ascii="Arial" w:cs="Arial" w:eastAsia="Arial" w:hAnsi="Arial"/>
          <w:sz w:val="14"/>
          <w:szCs w:val="14"/>
          <w:color w:val="auto"/>
        </w:rPr>
        <w:t>.</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95" w:name="page96"/>
    <w:bookmarkEnd w:id="95"/>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Critical accounting estimates are those that are critical to the portrayal and understanding of Busey’s financial condition and results of operations and require management to make assumptions that are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Busey’s critical accounting estimates. Management has reviewed these critical accounting estimates and related disclosures with Busey’s Audit Committee. The following estimates could be deemed critical:</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Assets Acquired and Liabilities Assumed in Business Combinations</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Arial" w:cs="Arial" w:eastAsia="Arial" w:hAnsi="Arial"/>
          <w:sz w:val="14"/>
          <w:szCs w:val="14"/>
          <w:i w:val="1"/>
          <w:iCs w:val="1"/>
          <w:color w:val="auto"/>
        </w:rPr>
        <w:t>“Fair Value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Measurement” </w:t>
      </w:r>
      <w:r>
        <w:rPr>
          <w:rFonts w:ascii="Arial" w:cs="Arial" w:eastAsia="Arial" w:hAnsi="Arial"/>
          <w:sz w:val="14"/>
          <w:szCs w:val="14"/>
          <w:color w:val="auto"/>
        </w:rPr>
        <w:t>as “the price that would be received to sell an asset or paid to transfer a liability in an orderly transaction between market participants at the measurement date.” The</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determination of fair values is based on valuations using management’s assumptions of future growth rates, future attrition, discount rates, multiples of earnings or other relevant factors. In addition, Busey engages third party specialists to assist in the development of fair values.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fair value of a loan portfolio acquired in a business combination generally requires greater levels of management estimates and judgment than other assets acquired or liabilities assumed. Acquired loans are within the scope of ASC Topic 326 </w:t>
      </w:r>
      <w:r>
        <w:rPr>
          <w:rFonts w:ascii="Arial" w:cs="Arial" w:eastAsia="Arial" w:hAnsi="Arial"/>
          <w:sz w:val="14"/>
          <w:szCs w:val="14"/>
          <w:i w:val="1"/>
          <w:iCs w:val="1"/>
          <w:color w:val="auto"/>
        </w:rPr>
        <w:t>“Financial Instruments-Credit Losses.”</w:t>
      </w:r>
      <w:r>
        <w:rPr>
          <w:rFonts w:ascii="Arial" w:cs="Arial" w:eastAsia="Arial" w:hAnsi="Arial"/>
          <w:sz w:val="14"/>
          <w:szCs w:val="14"/>
          <w:color w:val="auto"/>
        </w:rPr>
        <w:t xml:space="preserve"> However, the offset to record the allowance on acquired loans at the date of acquisition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Goodwill represents the excess of purchase price over the fair value of net assets acquired using the acquisition method of accounting. Goodwill is not amortized; instead, Busey assesses the potential for impairment on an annual basis or more frequently if events and circumstances indicate that goodwill might be impaired. Management applies significant judgement when testing goodwill for impairment, such as the valuation approach chosen, market multiples for competitors used in the calculation, and forecasts of business outlook.</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 is subject to the income tax laws of U.S., as well as the tax laws of the individual states and municipalities in which the Company conducts its operations. These laws are often complex and subject to nuanced interpretations.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Income taxes are estimated for the tax effects of the transactions reported on Busey’s unaudited consolidated financial statements and consist of an expense for taxes currently due plus assets and/or liabilities for deferred taxes. Deferred taxes represent the future tax consequences of differences between the tax basis and accounting basis of certain assets and liabilities, which will either be taxable or deductible when the assets and liabilities are recovered or settled. Deferred tax assets and liabilities are estimates that are reflected at income tax rates applicable to the period in which the deferred tax assets or liabilities are expected to be realized or settled. Deferred taxes are reported in other assets or other liabilities on the </w:t>
      </w:r>
      <w:r>
        <w:rPr>
          <w:rFonts w:ascii="Arial" w:cs="Arial" w:eastAsia="Arial" w:hAnsi="Arial"/>
          <w:sz w:val="14"/>
          <w:szCs w:val="14"/>
          <w:u w:val="single" w:color="auto"/>
          <w:color w:val="0000FF"/>
        </w:rPr>
        <w:t>Consolidated Balance Sheets (Unaudited)</w:t>
      </w:r>
      <w:r>
        <w:rPr>
          <w:rFonts w:ascii="Arial" w:cs="Arial" w:eastAsia="Arial" w:hAnsi="Arial"/>
          <w:sz w:val="14"/>
          <w:szCs w:val="14"/>
          <w:color w:val="auto"/>
        </w:rPr>
        <w:t xml:space="preserve">. Estimated income tax expense is reported on the </w:t>
      </w:r>
      <w:r>
        <w:rPr>
          <w:rFonts w:ascii="Arial" w:cs="Arial" w:eastAsia="Arial" w:hAnsi="Arial"/>
          <w:sz w:val="14"/>
          <w:szCs w:val="14"/>
          <w:u w:val="single" w:color="auto"/>
          <w:color w:val="0000FF"/>
        </w:rPr>
        <w:t>Consolidated Statements of Income (Unaudited)</w:t>
      </w:r>
      <w:r>
        <w:rPr>
          <w:rFonts w:ascii="Arial" w:cs="Arial" w:eastAsia="Arial" w:hAnsi="Arial"/>
          <w:sz w:val="14"/>
          <w:szCs w:val="14"/>
          <w:color w:val="auto"/>
        </w:rPr>
        <w:t>.</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96" w:name="page97"/>
    <w:bookmarkEnd w:id="96"/>
    <w:p>
      <w:pPr>
        <w:spacing w:after="0"/>
        <w:tabs>
          <w:tab w:leader="none" w:pos="1240" w:val="left"/>
        </w:tabs>
        <w:rPr>
          <w:sz w:val="20"/>
          <w:szCs w:val="20"/>
          <w:color w:val="auto"/>
        </w:rPr>
      </w:pPr>
      <w:r>
        <w:rPr>
          <w:rFonts w:ascii="Arial" w:cs="Arial" w:eastAsia="Arial" w:hAnsi="Arial"/>
          <w:sz w:val="14"/>
          <w:szCs w:val="14"/>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establishing its provision for income taxes and its estimates of deferred tax assets and liabilities, Busey must make judgments and interpretations about the application of inherently complex tax laws. Busey must also make estimates about when in the future certain items will affect taxable income. Disputes over interpretations of the tax laws may be subject to review and adjudication by the court systems of the various tax jurisdictions or may be settled with the taxing authority upon examination or audit. Although Busey’s management believes that its judgments are sound and its tax estimates are reasonable, interpretations of tax law applied by the taxing jurisdictions could differ. As such, Busey may be exposed to losses or gains, which could be material. An unfavorable tax settlement would result in an increase in Busey’s effective income tax rate in the period of resolution. A favorable tax settlement would result in a reduction in Busey’s effective income tax rate in the period of resolution.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Busey calculates the ACL at each reporting date. Busey recognizes an allowance for the lifetime expected credit losses for the amount it does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Busey may not be able to make or obtain such forecasts for the entire life of the financial assets and requires a reversion to historical credit loss information.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determining the ACL, management relies predominantly on a disciplined credit review and approval process that extends to the full range of Busey’s credit exposure. The ACL must be determined on a collective (pool) basis when similar risk characteristics exist. On a case-by-case basis, Busey may conclude that a loan should be evaluated on an individual basis based on disparate risk characteristics.</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Loans deemed uncollectible are charged against and reduce the ACL. A provision for credit losses is charged to current expense and acts to replenish the ACL in order to maintain the ACL at a level that management deems adequate.</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Determining the ACL involves significant judgments and assumptions. Macroeconomic forecasts provided by a third party and the economic indices sourced are significant judgments used in determining the allowance. Changes in these economic forecasts could significantly affect the ACL and lead to materially different amounts from one period to the next. Additionally, prepayment assumptions impact model output. Further, Busey completes a quarterly evaluation of several qualitative factors to determine if there should be adjustments made to the ACL. These factors include economic conditions, collateral, concentrations, delinquency trends, portfolio composition, underwriting, and certain other risks. Significant downturns relating to loan quality and economic conditions could result in a requirement for an additional allowance. Likewise, an upturn in loan quality and improved economic conditions may allow for a reduction in the required allowance. Because of the nature of the judgments and assumptions made by management, actual results may differ from these judgments and assumptions.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Busey as other types of market risk, such as foreign currency exchange rate risk and commodity price risk, have a minimal impact or do not arise in the normal course of Busey’s business activities.</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Busey has an asset-liability committee, whose policy is to meet at least quarterly, to review current market conditions and to structure the </w:t>
      </w:r>
      <w:r>
        <w:rPr>
          <w:rFonts w:ascii="Arial" w:cs="Arial" w:eastAsia="Arial" w:hAnsi="Arial"/>
          <w:sz w:val="14"/>
          <w:szCs w:val="14"/>
          <w:u w:val="single" w:color="auto"/>
          <w:color w:val="0000FF"/>
        </w:rPr>
        <w:t>Consolidated Balance Sheets (Unaudited)</w:t>
      </w:r>
      <w:r>
        <w:rPr>
          <w:rFonts w:ascii="Arial" w:cs="Arial" w:eastAsia="Arial" w:hAnsi="Arial"/>
          <w:sz w:val="14"/>
          <w:szCs w:val="14"/>
          <w:color w:val="auto"/>
        </w:rPr>
        <w:t xml:space="preserve"> to optimize stability in net interest income in consideration of projected future changes in interest rates.</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+/-300, and +/-400 bps.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28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Busey’s interest rate risk resulting from immediate and sustained changes in interest rates, expressed as a change in net interest income as a percentage of the net interest income calculated in the constant base model,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240" w:type="dxa"/>
            <w:vAlign w:val="bottom"/>
          </w:tcPr>
          <w:p>
            <w:pPr>
              <w:spacing w:after="0"/>
              <w:rPr>
                <w:sz w:val="12"/>
                <w:szCs w:val="12"/>
                <w:color w:val="auto"/>
              </w:rPr>
            </w:pPr>
          </w:p>
        </w:tc>
        <w:tc>
          <w:tcPr>
            <w:tcW w:w="298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1"/>
                <w:szCs w:val="11"/>
                <w:b w:val="1"/>
                <w:bCs w:val="1"/>
                <w:color w:val="auto"/>
              </w:rPr>
              <w:t>Year-One: Basis Point Changes</w:t>
            </w:r>
          </w:p>
        </w:tc>
        <w:tc>
          <w:tcPr>
            <w:tcW w:w="80" w:type="dxa"/>
            <w:vAlign w:val="bottom"/>
          </w:tcPr>
          <w:p>
            <w:pPr>
              <w:spacing w:after="0"/>
              <w:rPr>
                <w:sz w:val="12"/>
                <w:szCs w:val="12"/>
                <w:color w:val="auto"/>
              </w:rPr>
            </w:pPr>
          </w:p>
        </w:tc>
        <w:tc>
          <w:tcPr>
            <w:tcW w:w="298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1"/>
                <w:szCs w:val="11"/>
                <w:b w:val="1"/>
                <w:bCs w:val="1"/>
                <w:color w:val="auto"/>
              </w:rPr>
              <w:t>Year-Two: Basis Point Changes</w:t>
            </w:r>
          </w:p>
        </w:tc>
      </w:tr>
      <w:tr>
        <w:trPr>
          <w:trHeight w:val="107"/>
        </w:trPr>
        <w:tc>
          <w:tcPr>
            <w:tcW w:w="5240" w:type="dxa"/>
            <w:vAlign w:val="bottom"/>
          </w:tcPr>
          <w:p>
            <w:pPr>
              <w:spacing w:after="0"/>
              <w:rPr>
                <w:sz w:val="9"/>
                <w:szCs w:val="9"/>
                <w:color w:val="auto"/>
              </w:rPr>
            </w:pPr>
          </w:p>
        </w:tc>
        <w:tc>
          <w:tcPr>
            <w:tcW w:w="1520" w:type="dxa"/>
            <w:vAlign w:val="bottom"/>
            <w:gridSpan w:val="2"/>
          </w:tcPr>
          <w:p>
            <w:pPr>
              <w:ind w:left="460"/>
              <w:spacing w:after="0" w:line="107" w:lineRule="exact"/>
              <w:rPr>
                <w:sz w:val="20"/>
                <w:szCs w:val="20"/>
                <w:color w:val="auto"/>
              </w:rPr>
            </w:pPr>
            <w:r>
              <w:rPr>
                <w:rFonts w:ascii="Arial" w:cs="Arial" w:eastAsia="Arial" w:hAnsi="Arial"/>
                <w:sz w:val="11"/>
                <w:szCs w:val="11"/>
                <w:b w:val="1"/>
                <w:bCs w:val="1"/>
                <w:color w:val="auto"/>
              </w:rPr>
              <w:t>March 31,</w:t>
            </w:r>
          </w:p>
        </w:tc>
        <w:tc>
          <w:tcPr>
            <w:tcW w:w="1540" w:type="dxa"/>
            <w:vAlign w:val="bottom"/>
            <w:gridSpan w:val="2"/>
          </w:tcPr>
          <w:p>
            <w:pPr>
              <w:ind w:left="360"/>
              <w:spacing w:after="0" w:line="107" w:lineRule="exact"/>
              <w:rPr>
                <w:sz w:val="20"/>
                <w:szCs w:val="20"/>
                <w:color w:val="auto"/>
              </w:rPr>
            </w:pPr>
            <w:r>
              <w:rPr>
                <w:rFonts w:ascii="Arial" w:cs="Arial" w:eastAsia="Arial" w:hAnsi="Arial"/>
                <w:sz w:val="11"/>
                <w:szCs w:val="11"/>
                <w:b w:val="1"/>
                <w:bCs w:val="1"/>
                <w:color w:val="auto"/>
              </w:rPr>
              <w:t>December 31,</w:t>
            </w:r>
          </w:p>
        </w:tc>
        <w:tc>
          <w:tcPr>
            <w:tcW w:w="1520" w:type="dxa"/>
            <w:vAlign w:val="bottom"/>
            <w:gridSpan w:val="2"/>
          </w:tcPr>
          <w:p>
            <w:pPr>
              <w:ind w:left="460"/>
              <w:spacing w:after="0" w:line="107" w:lineRule="exact"/>
              <w:rPr>
                <w:sz w:val="20"/>
                <w:szCs w:val="20"/>
                <w:color w:val="auto"/>
              </w:rPr>
            </w:pPr>
            <w:r>
              <w:rPr>
                <w:rFonts w:ascii="Arial" w:cs="Arial" w:eastAsia="Arial" w:hAnsi="Arial"/>
                <w:sz w:val="11"/>
                <w:szCs w:val="11"/>
                <w:b w:val="1"/>
                <w:bCs w:val="1"/>
                <w:color w:val="auto"/>
              </w:rPr>
              <w:t>March 31,</w:t>
            </w:r>
          </w:p>
        </w:tc>
        <w:tc>
          <w:tcPr>
            <w:tcW w:w="1460" w:type="dxa"/>
            <w:vAlign w:val="bottom"/>
          </w:tcPr>
          <w:p>
            <w:pPr>
              <w:jc w:val="right"/>
              <w:ind w:right="292"/>
              <w:spacing w:after="0" w:line="107" w:lineRule="exact"/>
              <w:rPr>
                <w:sz w:val="20"/>
                <w:szCs w:val="20"/>
                <w:color w:val="auto"/>
              </w:rPr>
            </w:pPr>
            <w:r>
              <w:rPr>
                <w:rFonts w:ascii="Arial" w:cs="Arial" w:eastAsia="Arial" w:hAnsi="Arial"/>
                <w:sz w:val="11"/>
                <w:szCs w:val="11"/>
                <w:b w:val="1"/>
                <w:bCs w:val="1"/>
                <w:color w:val="auto"/>
              </w:rPr>
              <w:t>December 31,</w:t>
            </w:r>
          </w:p>
        </w:tc>
      </w:tr>
      <w:tr>
        <w:trPr>
          <w:trHeight w:val="138"/>
        </w:trPr>
        <w:tc>
          <w:tcPr>
            <w:tcW w:w="5240" w:type="dxa"/>
            <w:vAlign w:val="bottom"/>
            <w:tcBorders>
              <w:bottom w:val="single" w:sz="8" w:color="E0E7ED"/>
            </w:tcBorders>
          </w:tcPr>
          <w:p>
            <w:pPr>
              <w:spacing w:after="0"/>
              <w:rPr>
                <w:sz w:val="11"/>
                <w:szCs w:val="11"/>
                <w:color w:val="auto"/>
              </w:rPr>
            </w:pPr>
          </w:p>
        </w:tc>
        <w:tc>
          <w:tcPr>
            <w:tcW w:w="14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1"/>
                <w:szCs w:val="11"/>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1"/>
                <w:szCs w:val="11"/>
                <w:color w:val="auto"/>
              </w:rPr>
            </w:pPr>
          </w:p>
        </w:tc>
        <w:tc>
          <w:tcPr>
            <w:tcW w:w="14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1"/>
                <w:szCs w:val="11"/>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2024</w:t>
            </w:r>
          </w:p>
        </w:tc>
      </w:tr>
      <w:tr>
        <w:trPr>
          <w:trHeight w:val="203"/>
        </w:trPr>
        <w:tc>
          <w:tcPr>
            <w:tcW w:w="5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+400</w:t>
            </w: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7.47 %</w:t>
            </w:r>
          </w:p>
        </w:tc>
        <w:tc>
          <w:tcPr>
            <w:tcW w:w="80" w:type="dxa"/>
            <w:vAlign w:val="bottom"/>
            <w:shd w:val="clear" w:color="auto" w:fill="E0E7ED"/>
          </w:tcPr>
          <w:p>
            <w:pPr>
              <w:spacing w:after="0"/>
              <w:rPr>
                <w:sz w:val="17"/>
                <w:szCs w:val="17"/>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8.50 %</w:t>
            </w:r>
          </w:p>
        </w:tc>
        <w:tc>
          <w:tcPr>
            <w:tcW w:w="80" w:type="dxa"/>
            <w:vAlign w:val="bottom"/>
            <w:shd w:val="clear" w:color="auto" w:fill="E0E7ED"/>
          </w:tcPr>
          <w:p>
            <w:pPr>
              <w:spacing w:after="0"/>
              <w:rPr>
                <w:sz w:val="17"/>
                <w:szCs w:val="17"/>
                <w:color w:val="auto"/>
              </w:rPr>
            </w:pP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10.57 %</w:t>
            </w:r>
          </w:p>
        </w:tc>
        <w:tc>
          <w:tcPr>
            <w:tcW w:w="80" w:type="dxa"/>
            <w:vAlign w:val="bottom"/>
            <w:shd w:val="clear" w:color="auto" w:fill="E0E7ED"/>
          </w:tcPr>
          <w:p>
            <w:pPr>
              <w:spacing w:after="0"/>
              <w:rPr>
                <w:sz w:val="17"/>
                <w:szCs w:val="17"/>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10.85 %</w:t>
            </w:r>
          </w:p>
        </w:tc>
      </w:tr>
      <w:tr>
        <w:trPr>
          <w:trHeight w:val="202"/>
        </w:trPr>
        <w:tc>
          <w:tcPr>
            <w:tcW w:w="5240" w:type="dxa"/>
            <w:vAlign w:val="bottom"/>
          </w:tcPr>
          <w:p>
            <w:pPr>
              <w:ind w:left="20"/>
              <w:spacing w:after="0"/>
              <w:rPr>
                <w:sz w:val="20"/>
                <w:szCs w:val="20"/>
                <w:color w:val="auto"/>
              </w:rPr>
            </w:pPr>
            <w:r>
              <w:rPr>
                <w:rFonts w:ascii="Arial" w:cs="Arial" w:eastAsia="Arial" w:hAnsi="Arial"/>
                <w:sz w:val="14"/>
                <w:szCs w:val="14"/>
                <w:color w:val="auto"/>
              </w:rPr>
              <w:t>+300</w:t>
            </w:r>
          </w:p>
        </w:tc>
        <w:tc>
          <w:tcPr>
            <w:tcW w:w="1440" w:type="dxa"/>
            <w:vAlign w:val="bottom"/>
          </w:tcPr>
          <w:p>
            <w:pPr>
              <w:jc w:val="right"/>
              <w:spacing w:after="0"/>
              <w:rPr>
                <w:sz w:val="20"/>
                <w:szCs w:val="20"/>
                <w:color w:val="auto"/>
              </w:rPr>
            </w:pPr>
            <w:r>
              <w:rPr>
                <w:rFonts w:ascii="Arial" w:cs="Arial" w:eastAsia="Arial" w:hAnsi="Arial"/>
                <w:sz w:val="14"/>
                <w:szCs w:val="14"/>
                <w:color w:val="auto"/>
              </w:rPr>
              <w:t>5.51 %</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6.26 %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7.84 %</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8.01 %</w:t>
            </w:r>
          </w:p>
        </w:tc>
      </w:tr>
      <w:tr>
        <w:trPr>
          <w:trHeight w:val="222"/>
        </w:trPr>
        <w:tc>
          <w:tcPr>
            <w:tcW w:w="5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+200</w:t>
            </w: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3.58 %</w:t>
            </w:r>
          </w:p>
        </w:tc>
        <w:tc>
          <w:tcPr>
            <w:tcW w:w="80" w:type="dxa"/>
            <w:vAlign w:val="bottom"/>
            <w:shd w:val="clear" w:color="auto" w:fill="E0E7ED"/>
          </w:tcPr>
          <w:p>
            <w:pPr>
              <w:spacing w:after="0"/>
              <w:rPr>
                <w:sz w:val="19"/>
                <w:szCs w:val="19"/>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4.05 %</w:t>
            </w:r>
          </w:p>
        </w:tc>
        <w:tc>
          <w:tcPr>
            <w:tcW w:w="80" w:type="dxa"/>
            <w:vAlign w:val="bottom"/>
            <w:shd w:val="clear" w:color="auto" w:fill="E0E7ED"/>
          </w:tcPr>
          <w:p>
            <w:pPr>
              <w:spacing w:after="0"/>
              <w:rPr>
                <w:sz w:val="19"/>
                <w:szCs w:val="19"/>
                <w:color w:val="auto"/>
              </w:rPr>
            </w:pP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5.16 %</w:t>
            </w:r>
          </w:p>
        </w:tc>
        <w:tc>
          <w:tcPr>
            <w:tcW w:w="80" w:type="dxa"/>
            <w:vAlign w:val="bottom"/>
            <w:shd w:val="clear" w:color="auto" w:fill="E0E7ED"/>
          </w:tcPr>
          <w:p>
            <w:pPr>
              <w:spacing w:after="0"/>
              <w:rPr>
                <w:sz w:val="19"/>
                <w:szCs w:val="19"/>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5.24 %</w:t>
            </w:r>
          </w:p>
        </w:tc>
      </w:tr>
      <w:tr>
        <w:trPr>
          <w:trHeight w:val="202"/>
        </w:trPr>
        <w:tc>
          <w:tcPr>
            <w:tcW w:w="5240" w:type="dxa"/>
            <w:vAlign w:val="bottom"/>
          </w:tcPr>
          <w:p>
            <w:pPr>
              <w:ind w:left="20"/>
              <w:spacing w:after="0"/>
              <w:rPr>
                <w:sz w:val="20"/>
                <w:szCs w:val="20"/>
                <w:color w:val="auto"/>
              </w:rPr>
            </w:pPr>
            <w:r>
              <w:rPr>
                <w:rFonts w:ascii="Arial" w:cs="Arial" w:eastAsia="Arial" w:hAnsi="Arial"/>
                <w:sz w:val="14"/>
                <w:szCs w:val="14"/>
                <w:color w:val="auto"/>
              </w:rPr>
              <w:t>+100</w:t>
            </w:r>
          </w:p>
        </w:tc>
        <w:tc>
          <w:tcPr>
            <w:tcW w:w="1440" w:type="dxa"/>
            <w:vAlign w:val="bottom"/>
          </w:tcPr>
          <w:p>
            <w:pPr>
              <w:jc w:val="right"/>
              <w:spacing w:after="0"/>
              <w:rPr>
                <w:sz w:val="20"/>
                <w:szCs w:val="20"/>
                <w:color w:val="auto"/>
              </w:rPr>
            </w:pPr>
            <w:r>
              <w:rPr>
                <w:rFonts w:ascii="Arial" w:cs="Arial" w:eastAsia="Arial" w:hAnsi="Arial"/>
                <w:sz w:val="14"/>
                <w:szCs w:val="14"/>
                <w:color w:val="auto"/>
              </w:rPr>
              <w:t>1.77 %</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1.96 %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2.58 %</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2.59 %</w:t>
            </w:r>
          </w:p>
        </w:tc>
      </w:tr>
      <w:tr>
        <w:trPr>
          <w:trHeight w:val="222"/>
        </w:trPr>
        <w:tc>
          <w:tcPr>
            <w:tcW w:w="5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-100</w:t>
            </w: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(1.70)%</w:t>
            </w:r>
          </w:p>
        </w:tc>
        <w:tc>
          <w:tcPr>
            <w:tcW w:w="80" w:type="dxa"/>
            <w:vAlign w:val="bottom"/>
            <w:shd w:val="clear" w:color="auto" w:fill="E0E7ED"/>
          </w:tcPr>
          <w:p>
            <w:pPr>
              <w:spacing w:after="0"/>
              <w:rPr>
                <w:sz w:val="19"/>
                <w:szCs w:val="19"/>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(1.81)%</w:t>
            </w:r>
          </w:p>
        </w:tc>
        <w:tc>
          <w:tcPr>
            <w:tcW w:w="80" w:type="dxa"/>
            <w:vAlign w:val="bottom"/>
            <w:shd w:val="clear" w:color="auto" w:fill="E0E7ED"/>
          </w:tcPr>
          <w:p>
            <w:pPr>
              <w:spacing w:after="0"/>
              <w:rPr>
                <w:sz w:val="19"/>
                <w:szCs w:val="19"/>
                <w:color w:val="auto"/>
              </w:rPr>
            </w:pP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(3.20)%</w:t>
            </w:r>
          </w:p>
        </w:tc>
        <w:tc>
          <w:tcPr>
            <w:tcW w:w="80" w:type="dxa"/>
            <w:vAlign w:val="bottom"/>
            <w:shd w:val="clear" w:color="auto" w:fill="E0E7ED"/>
          </w:tcPr>
          <w:p>
            <w:pPr>
              <w:spacing w:after="0"/>
              <w:rPr>
                <w:sz w:val="19"/>
                <w:szCs w:val="19"/>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(3.35)%</w:t>
            </w:r>
          </w:p>
        </w:tc>
      </w:tr>
      <w:tr>
        <w:trPr>
          <w:trHeight w:val="202"/>
        </w:trPr>
        <w:tc>
          <w:tcPr>
            <w:tcW w:w="5240" w:type="dxa"/>
            <w:vAlign w:val="bottom"/>
          </w:tcPr>
          <w:p>
            <w:pPr>
              <w:ind w:left="20"/>
              <w:spacing w:after="0"/>
              <w:rPr>
                <w:sz w:val="20"/>
                <w:szCs w:val="20"/>
                <w:color w:val="auto"/>
              </w:rPr>
            </w:pPr>
            <w:r>
              <w:rPr>
                <w:rFonts w:ascii="Arial" w:cs="Arial" w:eastAsia="Arial" w:hAnsi="Arial"/>
                <w:sz w:val="14"/>
                <w:szCs w:val="14"/>
                <w:color w:val="auto"/>
              </w:rPr>
              <w:t>-200</w:t>
            </w:r>
          </w:p>
        </w:tc>
        <w:tc>
          <w:tcPr>
            <w:tcW w:w="1440" w:type="dxa"/>
            <w:vAlign w:val="bottom"/>
          </w:tcPr>
          <w:p>
            <w:pPr>
              <w:jc w:val="right"/>
              <w:spacing w:after="0"/>
              <w:rPr>
                <w:sz w:val="20"/>
                <w:szCs w:val="20"/>
                <w:color w:val="auto"/>
              </w:rPr>
            </w:pPr>
            <w:r>
              <w:rPr>
                <w:rFonts w:ascii="Arial" w:cs="Arial" w:eastAsia="Arial" w:hAnsi="Arial"/>
                <w:sz w:val="14"/>
                <w:szCs w:val="14"/>
                <w:color w:val="auto"/>
              </w:rPr>
              <w:t>(2.92)%</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(6.24)%</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(6.65)%</w:t>
            </w:r>
          </w:p>
        </w:tc>
      </w:tr>
      <w:tr>
        <w:trPr>
          <w:trHeight w:val="222"/>
        </w:trPr>
        <w:tc>
          <w:tcPr>
            <w:tcW w:w="5240" w:type="dxa"/>
            <w:vAlign w:val="bottom"/>
            <w:shd w:val="clear" w:color="auto" w:fill="E0E7ED"/>
          </w:tcPr>
          <w:p>
            <w:pPr>
              <w:ind w:left="20"/>
              <w:spacing w:after="0"/>
              <w:rPr>
                <w:sz w:val="20"/>
                <w:szCs w:val="20"/>
                <w:color w:val="auto"/>
              </w:rPr>
            </w:pPr>
            <w:r>
              <w:rPr>
                <w:rFonts w:ascii="Arial" w:cs="Arial" w:eastAsia="Arial" w:hAnsi="Arial"/>
                <w:sz w:val="14"/>
                <w:szCs w:val="14"/>
                <w:color w:val="auto"/>
              </w:rPr>
              <w:t>-300</w:t>
            </w: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(3.26)%</w:t>
            </w:r>
          </w:p>
        </w:tc>
        <w:tc>
          <w:tcPr>
            <w:tcW w:w="80" w:type="dxa"/>
            <w:vAlign w:val="bottom"/>
            <w:shd w:val="clear" w:color="auto" w:fill="E0E7ED"/>
          </w:tcPr>
          <w:p>
            <w:pPr>
              <w:spacing w:after="0"/>
              <w:rPr>
                <w:sz w:val="19"/>
                <w:szCs w:val="19"/>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(4.03)%</w:t>
            </w:r>
          </w:p>
        </w:tc>
        <w:tc>
          <w:tcPr>
            <w:tcW w:w="80" w:type="dxa"/>
            <w:vAlign w:val="bottom"/>
            <w:shd w:val="clear" w:color="auto" w:fill="E0E7ED"/>
          </w:tcPr>
          <w:p>
            <w:pPr>
              <w:spacing w:after="0"/>
              <w:rPr>
                <w:sz w:val="19"/>
                <w:szCs w:val="19"/>
                <w:color w:val="auto"/>
              </w:rPr>
            </w:pPr>
          </w:p>
        </w:tc>
        <w:tc>
          <w:tcPr>
            <w:tcW w:w="14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(8.74)%</w:t>
            </w:r>
          </w:p>
        </w:tc>
        <w:tc>
          <w:tcPr>
            <w:tcW w:w="80" w:type="dxa"/>
            <w:vAlign w:val="bottom"/>
            <w:shd w:val="clear" w:color="auto" w:fill="E0E7ED"/>
          </w:tcPr>
          <w:p>
            <w:pPr>
              <w:spacing w:after="0"/>
              <w:rPr>
                <w:sz w:val="19"/>
                <w:szCs w:val="19"/>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(9.47)%</w:t>
            </w:r>
          </w:p>
        </w:tc>
      </w:tr>
      <w:tr>
        <w:trPr>
          <w:trHeight w:val="193"/>
        </w:trPr>
        <w:tc>
          <w:tcPr>
            <w:tcW w:w="5240" w:type="dxa"/>
            <w:vAlign w:val="bottom"/>
          </w:tcPr>
          <w:p>
            <w:pPr>
              <w:ind w:left="20"/>
              <w:spacing w:after="0"/>
              <w:rPr>
                <w:sz w:val="20"/>
                <w:szCs w:val="20"/>
                <w:color w:val="auto"/>
              </w:rPr>
            </w:pPr>
            <w:r>
              <w:rPr>
                <w:rFonts w:ascii="Arial" w:cs="Arial" w:eastAsia="Arial" w:hAnsi="Arial"/>
                <w:sz w:val="14"/>
                <w:szCs w:val="14"/>
                <w:color w:val="auto"/>
              </w:rPr>
              <w:t>-400</w:t>
            </w:r>
          </w:p>
        </w:tc>
        <w:tc>
          <w:tcPr>
            <w:tcW w:w="1440" w:type="dxa"/>
            <w:vAlign w:val="bottom"/>
          </w:tcPr>
          <w:p>
            <w:pPr>
              <w:jc w:val="right"/>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(4.41)%</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(10.87)%</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(12.43)%</w:t>
            </w:r>
          </w:p>
        </w:tc>
      </w:tr>
    </w:tbl>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278"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ITEM 4. CONTROLS AND PROCEDURES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An evaluation of Busey’s disclosure controls and procedures, as defined in Rule 13a-15(e) under the Exchange Act, was carried out as of March 31, 2025, under the supervision and with the participation of its Chief Executive Officer, Interim Chief Financial Officer, and several other members of senior management. Based on this evaluation, Busey’s Chief Executive Officer and Interim Chief Financial Officer concluded that, as of March 31, 2025, Busey’s disclosure controls and procedures were effective in ensuring that the information Busey is required to disclose in the reports Busey files or submits under the Exchange Act was (1) accumulated and communicated to Busey’s management (including the Chief Executive Officer and Chief Financial Officer) to allow timely decisions regarding required disclosure, and (2) recorded, processed, summarized, and reported within the time periods specified in the SEC’s rules and forms.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three months ended March 31, 2025, no change occurred in Busey’s internal control over financial reporting that has materially affected, or is reasonably likely to materially affect, Busey’s internal control over financial reporting.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II—OTHER INFORMATION</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ITEM 1. LEGAL PROCEEDINGS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As part of the ordinary course of business, First Busey Corporation and its subsidiaries are parties to litigation that is incidental to their regular business activities.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There is no material pending litigation, other than ordinary routine litigation incidental to its business, in which First Busey Corporation or any of its subsidiaries is involved or of which any of their property is the subject. Furthermore, there is no pending legal proceeding that is adverse to Busey in which any director, officer, or affiliate of Busey, or any associate of any such director or officer, is a party, or has a material interest.</w:t>
      </w:r>
    </w:p>
    <w:p>
      <w:pPr>
        <w:spacing w:after="0" w:line="112"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ITEM 1A. RISK FACTORS</w:t>
      </w:r>
    </w:p>
    <w:p>
      <w:pPr>
        <w:spacing w:after="0" w:line="147"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There have been no material changes to the factors discussed in </w:t>
      </w:r>
      <w:hyperlink r:id="rId149">
        <w:r>
          <w:rPr>
            <w:rFonts w:ascii="Arial" w:cs="Arial" w:eastAsia="Arial" w:hAnsi="Arial"/>
            <w:sz w:val="14"/>
            <w:szCs w:val="14"/>
            <w:u w:val="single" w:color="auto"/>
            <w:color w:val="0000FF"/>
          </w:rPr>
          <w:t>Part II—Item 1A</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of </w:t>
      </w:r>
      <w:hyperlink r:id="rId90">
        <w:r>
          <w:rPr>
            <w:rFonts w:ascii="Arial" w:cs="Arial" w:eastAsia="Arial" w:hAnsi="Arial"/>
            <w:sz w:val="14"/>
            <w:szCs w:val="14"/>
            <w:u w:val="single" w:color="auto"/>
            <w:color w:val="0000FF"/>
          </w:rPr>
          <w:t>Busey’s 2024 Annual Report</w:t>
        </w:r>
      </w:hyperlink>
      <w:r>
        <w:rPr>
          <w:rFonts w:ascii="Arial" w:cs="Arial" w:eastAsia="Arial" w:hAnsi="Arial"/>
          <w:sz w:val="14"/>
          <w:szCs w:val="14"/>
          <w:color w:val="auto"/>
        </w:rPr>
        <w:t>.</w:t>
      </w:r>
    </w:p>
    <w:p>
      <w:pPr>
        <w:spacing w:after="0" w:line="14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ITEM 2. UNREGISTERED SALES OF EQUITY SECURITIES, USE OF PROCEEDS, AND ISSUER PURCHASES OF EQUITY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REPURCHASE PLAN</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February 3, 2015, Busey’s board of directors authorized the Company to repurchase up to an aggregate of 666,667 shares of its common stock. The repurchase plan has no expiration date, and has been amended to increase the number of shares available for repurchase as follows:</w:t>
      </w:r>
    </w:p>
    <w:p>
      <w:pPr>
        <w:spacing w:after="0" w:line="88" w:lineRule="exact"/>
        <w:rPr>
          <w:sz w:val="20"/>
          <w:szCs w:val="20"/>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May 22, 2019, Busey’s board of directors approved an amendment to increase the authorized shares under the repurchase plan by 1,000,000 shares.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February 5, 2020, Busey’s board of directors approved an amendment to increase the authorized shares under the repurchase plan by an additional 2,000,000 shares.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May 24, 2023, Busey’s board of directors approved an amendment to increase the authorized shares under the repurchase plan by an additional 2,000,000 shares.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During the first quarter of 2025, Busey purchased 220,000 shares under the repurchase plan. As of March 31, 2025, the Company had 1,699,275 shares that may still be purchased under the plan.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Number of Common</w:t>
            </w:r>
          </w:p>
        </w:tc>
        <w:tc>
          <w:tcPr>
            <w:tcW w:w="10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Maximum Number of</w:t>
            </w:r>
          </w:p>
        </w:tc>
        <w:tc>
          <w:tcPr>
            <w:tcW w:w="0" w:type="dxa"/>
            <w:vAlign w:val="bottom"/>
          </w:tcPr>
          <w:p>
            <w:pPr>
              <w:spacing w:after="0"/>
              <w:rPr>
                <w:sz w:val="1"/>
                <w:szCs w:val="1"/>
                <w:color w:val="auto"/>
              </w:rPr>
            </w:pPr>
          </w:p>
        </w:tc>
      </w:tr>
      <w:tr>
        <w:trPr>
          <w:trHeight w:val="110"/>
        </w:trPr>
        <w:tc>
          <w:tcPr>
            <w:tcW w:w="5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Total Number of</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Shares Purchased as</w:t>
            </w:r>
          </w:p>
        </w:tc>
        <w:tc>
          <w:tcPr>
            <w:tcW w:w="100" w:type="dxa"/>
            <w:vAlign w:val="bottom"/>
          </w:tcPr>
          <w:p>
            <w:pPr>
              <w:spacing w:after="0"/>
              <w:rPr>
                <w:sz w:val="9"/>
                <w:szCs w:val="9"/>
                <w:color w:val="auto"/>
              </w:rPr>
            </w:pPr>
          </w:p>
        </w:tc>
        <w:tc>
          <w:tcPr>
            <w:tcW w:w="13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Common Shares That</w:t>
            </w:r>
          </w:p>
        </w:tc>
        <w:tc>
          <w:tcPr>
            <w:tcW w:w="0" w:type="dxa"/>
            <w:vAlign w:val="bottom"/>
          </w:tcPr>
          <w:p>
            <w:pPr>
              <w:spacing w:after="0"/>
              <w:rPr>
                <w:sz w:val="1"/>
                <w:szCs w:val="1"/>
                <w:color w:val="auto"/>
              </w:rPr>
            </w:pPr>
          </w:p>
        </w:tc>
      </w:tr>
      <w:tr>
        <w:trPr>
          <w:trHeight w:val="112"/>
        </w:trPr>
        <w:tc>
          <w:tcPr>
            <w:tcW w:w="5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Weighted Average Price</w:t>
            </w:r>
          </w:p>
        </w:tc>
        <w:tc>
          <w:tcPr>
            <w:tcW w:w="13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Part of Publicly</w:t>
            </w:r>
          </w:p>
        </w:tc>
        <w:tc>
          <w:tcPr>
            <w:tcW w:w="100" w:type="dxa"/>
            <w:vAlign w:val="bottom"/>
          </w:tcPr>
          <w:p>
            <w:pPr>
              <w:spacing w:after="0"/>
              <w:rPr>
                <w:sz w:val="9"/>
                <w:szCs w:val="9"/>
                <w:color w:val="auto"/>
              </w:rPr>
            </w:pPr>
          </w:p>
        </w:tc>
        <w:tc>
          <w:tcPr>
            <w:tcW w:w="13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May Yet Be Purchased</w:t>
            </w:r>
          </w:p>
        </w:tc>
        <w:tc>
          <w:tcPr>
            <w:tcW w:w="0" w:type="dxa"/>
            <w:vAlign w:val="bottom"/>
          </w:tcPr>
          <w:p>
            <w:pPr>
              <w:spacing w:after="0"/>
              <w:rPr>
                <w:sz w:val="1"/>
                <w:szCs w:val="1"/>
                <w:color w:val="auto"/>
              </w:rPr>
            </w:pPr>
          </w:p>
        </w:tc>
      </w:tr>
      <w:tr>
        <w:trPr>
          <w:trHeight w:val="106"/>
        </w:trPr>
        <w:tc>
          <w:tcPr>
            <w:tcW w:w="5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Period</w:t>
            </w:r>
          </w:p>
        </w:tc>
        <w:tc>
          <w:tcPr>
            <w:tcW w:w="100" w:type="dxa"/>
            <w:vAlign w:val="bottom"/>
            <w:vMerge w:val="restart"/>
          </w:tcPr>
          <w:p>
            <w:pPr>
              <w:spacing w:after="0"/>
              <w:rPr>
                <w:sz w:val="9"/>
                <w:szCs w:val="9"/>
                <w:color w:val="auto"/>
              </w:rPr>
            </w:pPr>
          </w:p>
        </w:tc>
        <w:tc>
          <w:tcPr>
            <w:tcW w:w="13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Common Shares</w:t>
            </w:r>
          </w:p>
        </w:tc>
        <w:tc>
          <w:tcPr>
            <w:tcW w:w="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3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Announced Plans or</w:t>
            </w:r>
          </w:p>
        </w:tc>
        <w:tc>
          <w:tcPr>
            <w:tcW w:w="100" w:type="dxa"/>
            <w:vAlign w:val="bottom"/>
          </w:tcPr>
          <w:p>
            <w:pPr>
              <w:spacing w:after="0"/>
              <w:rPr>
                <w:sz w:val="9"/>
                <w:szCs w:val="9"/>
                <w:color w:val="auto"/>
              </w:rPr>
            </w:pPr>
          </w:p>
        </w:tc>
        <w:tc>
          <w:tcPr>
            <w:tcW w:w="13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Under the Plans or</w:t>
            </w:r>
          </w:p>
        </w:tc>
        <w:tc>
          <w:tcPr>
            <w:tcW w:w="0" w:type="dxa"/>
            <w:vAlign w:val="bottom"/>
          </w:tcPr>
          <w:p>
            <w:pPr>
              <w:spacing w:after="0"/>
              <w:rPr>
                <w:sz w:val="1"/>
                <w:szCs w:val="1"/>
                <w:color w:val="auto"/>
              </w:rPr>
            </w:pPr>
          </w:p>
        </w:tc>
      </w:tr>
      <w:tr>
        <w:trPr>
          <w:trHeight w:val="138"/>
        </w:trPr>
        <w:tc>
          <w:tcPr>
            <w:tcW w:w="54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E0E7ED"/>
            </w:tcBorders>
            <w:vMerge w:val="continue"/>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Purchased</w:t>
            </w:r>
          </w:p>
        </w:tc>
        <w:tc>
          <w:tcPr>
            <w:tcW w:w="80" w:type="dxa"/>
            <w:vAlign w:val="bottom"/>
            <w:tcBorders>
              <w:bottom w:val="single" w:sz="8" w:color="E0E7ED"/>
            </w:tcBorders>
          </w:tcPr>
          <w:p>
            <w:pPr>
              <w:spacing w:after="0"/>
              <w:rPr>
                <w:sz w:val="11"/>
                <w:szCs w:val="11"/>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Paid per Common Share</w:t>
            </w:r>
          </w:p>
        </w:tc>
        <w:tc>
          <w:tcPr>
            <w:tcW w:w="80" w:type="dxa"/>
            <w:vAlign w:val="bottom"/>
            <w:tcBorders>
              <w:bottom w:val="single" w:sz="8" w:color="E0E7ED"/>
            </w:tcBorders>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Programs</w:t>
            </w:r>
          </w:p>
        </w:tc>
        <w:tc>
          <w:tcPr>
            <w:tcW w:w="100" w:type="dxa"/>
            <w:vAlign w:val="bottom"/>
            <w:tcBorders>
              <w:bottom w:val="single" w:sz="8" w:color="E0E7ED"/>
            </w:tcBorders>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Programs</w:t>
            </w:r>
          </w:p>
        </w:tc>
        <w:tc>
          <w:tcPr>
            <w:tcW w:w="0" w:type="dxa"/>
            <w:vAlign w:val="bottom"/>
          </w:tcPr>
          <w:p>
            <w:pPr>
              <w:spacing w:after="0"/>
              <w:rPr>
                <w:sz w:val="1"/>
                <w:szCs w:val="1"/>
                <w:color w:val="auto"/>
              </w:rPr>
            </w:pPr>
          </w:p>
        </w:tc>
      </w:tr>
      <w:tr>
        <w:trPr>
          <w:trHeight w:val="203"/>
        </w:trPr>
        <w:tc>
          <w:tcPr>
            <w:tcW w:w="556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January 1-31, 2025</w:t>
            </w:r>
          </w:p>
        </w:tc>
        <w:tc>
          <w:tcPr>
            <w:tcW w:w="13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E0E7ED"/>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1,919,275</w:t>
            </w:r>
          </w:p>
        </w:tc>
        <w:tc>
          <w:tcPr>
            <w:tcW w:w="0" w:type="dxa"/>
            <w:vAlign w:val="bottom"/>
          </w:tcPr>
          <w:p>
            <w:pPr>
              <w:spacing w:after="0"/>
              <w:rPr>
                <w:sz w:val="1"/>
                <w:szCs w:val="1"/>
                <w:color w:val="auto"/>
              </w:rPr>
            </w:pPr>
          </w:p>
        </w:tc>
      </w:tr>
      <w:tr>
        <w:trPr>
          <w:trHeight w:val="202"/>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February 1-28, 2025</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1,919,275</w:t>
            </w:r>
          </w:p>
        </w:tc>
        <w:tc>
          <w:tcPr>
            <w:tcW w:w="0" w:type="dxa"/>
            <w:vAlign w:val="bottom"/>
          </w:tcPr>
          <w:p>
            <w:pPr>
              <w:spacing w:after="0"/>
              <w:rPr>
                <w:sz w:val="1"/>
                <w:szCs w:val="1"/>
                <w:color w:val="auto"/>
              </w:rPr>
            </w:pPr>
          </w:p>
        </w:tc>
      </w:tr>
      <w:tr>
        <w:trPr>
          <w:trHeight w:val="213"/>
        </w:trPr>
        <w:tc>
          <w:tcPr>
            <w:tcW w:w="5560" w:type="dxa"/>
            <w:vAlign w:val="bottom"/>
            <w:gridSpan w:val="2"/>
            <w:shd w:val="clear" w:color="auto" w:fill="E0E7ED"/>
          </w:tcPr>
          <w:p>
            <w:pPr>
              <w:ind w:left="20"/>
              <w:spacing w:after="0"/>
              <w:rPr>
                <w:sz w:val="20"/>
                <w:szCs w:val="20"/>
                <w:color w:val="auto"/>
              </w:rPr>
            </w:pPr>
            <w:r>
              <w:rPr>
                <w:rFonts w:ascii="Arial" w:cs="Arial" w:eastAsia="Arial" w:hAnsi="Arial"/>
                <w:sz w:val="14"/>
                <w:szCs w:val="14"/>
                <w:color w:val="auto"/>
              </w:rPr>
              <w:t>March 1-31, 2025</w:t>
            </w:r>
          </w:p>
        </w:tc>
        <w:tc>
          <w:tcPr>
            <w:tcW w:w="13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220,000</w:t>
            </w:r>
          </w:p>
        </w:tc>
        <w:tc>
          <w:tcPr>
            <w:tcW w:w="80" w:type="dxa"/>
            <w:vAlign w:val="bottom"/>
            <w:shd w:val="clear" w:color="auto" w:fill="E0E7ED"/>
          </w:tcPr>
          <w:p>
            <w:pPr>
              <w:spacing w:after="0"/>
              <w:rPr>
                <w:sz w:val="18"/>
                <w:szCs w:val="18"/>
                <w:color w:val="auto"/>
              </w:rPr>
            </w:pPr>
          </w:p>
        </w:tc>
        <w:tc>
          <w:tcPr>
            <w:tcW w:w="540" w:type="dxa"/>
            <w:vAlign w:val="bottom"/>
            <w:shd w:val="clear" w:color="auto" w:fill="E0E7ED"/>
          </w:tcPr>
          <w:p>
            <w:pPr>
              <w:spacing w:after="0"/>
              <w:rPr>
                <w:sz w:val="18"/>
                <w:szCs w:val="18"/>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21.98</w:t>
            </w:r>
          </w:p>
        </w:tc>
        <w:tc>
          <w:tcPr>
            <w:tcW w:w="80" w:type="dxa"/>
            <w:vAlign w:val="bottom"/>
            <w:shd w:val="clear" w:color="auto" w:fill="E0E7ED"/>
          </w:tcPr>
          <w:p>
            <w:pPr>
              <w:spacing w:after="0"/>
              <w:rPr>
                <w:sz w:val="18"/>
                <w:szCs w:val="18"/>
                <w:color w:val="auto"/>
              </w:rPr>
            </w:pPr>
          </w:p>
        </w:tc>
        <w:tc>
          <w:tcPr>
            <w:tcW w:w="13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220,000</w:t>
            </w:r>
          </w:p>
        </w:tc>
        <w:tc>
          <w:tcPr>
            <w:tcW w:w="1460" w:type="dxa"/>
            <w:vAlign w:val="bottom"/>
            <w:gridSpan w:val="2"/>
            <w:shd w:val="clear" w:color="auto" w:fill="E0E7ED"/>
          </w:tcPr>
          <w:p>
            <w:pPr>
              <w:jc w:val="right"/>
              <w:spacing w:after="0"/>
              <w:rPr>
                <w:sz w:val="20"/>
                <w:szCs w:val="20"/>
                <w:color w:val="auto"/>
              </w:rPr>
            </w:pPr>
            <w:r>
              <w:rPr>
                <w:rFonts w:ascii="Arial" w:cs="Arial" w:eastAsia="Arial" w:hAnsi="Arial"/>
                <w:sz w:val="14"/>
                <w:szCs w:val="14"/>
                <w:color w:val="auto"/>
              </w:rPr>
              <w:t>1,699,275</w:t>
            </w:r>
          </w:p>
        </w:tc>
        <w:tc>
          <w:tcPr>
            <w:tcW w:w="0" w:type="dxa"/>
            <w:vAlign w:val="bottom"/>
          </w:tcPr>
          <w:p>
            <w:pPr>
              <w:spacing w:after="0"/>
              <w:rPr>
                <w:sz w:val="1"/>
                <w:szCs w:val="1"/>
                <w:color w:val="auto"/>
              </w:rPr>
            </w:pPr>
          </w:p>
        </w:tc>
      </w:tr>
      <w:tr>
        <w:trPr>
          <w:trHeight w:val="212"/>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Three Months ended March 31, 2025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220,000</w:t>
            </w:r>
          </w:p>
        </w:tc>
        <w:tc>
          <w:tcPr>
            <w:tcW w:w="6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21.98</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220,000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4. MINE SAFETY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5. OTHER INFORMATION</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fiscal quarter ended March 31, 2025, none of Busey’s directors or executive officers adopted or terminated any contract, instruction, or written plan for the purchase or sale of Busey securities that was intended to satisfy the affirmative defense conditions of Rule 10b5-1(c) or any non-Rule 10b5-1 trading arrangement.</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6.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Incorporated herein by reference</w:t>
            </w:r>
          </w:p>
        </w:tc>
        <w:tc>
          <w:tcPr>
            <w:tcW w:w="1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220" w:type="dxa"/>
            <w:vAlign w:val="bottom"/>
            <w:gridSpan w:val="2"/>
          </w:tcPr>
          <w:p>
            <w:pPr>
              <w:ind w:left="380"/>
              <w:spacing w:after="0" w:line="107" w:lineRule="exact"/>
              <w:rPr>
                <w:sz w:val="20"/>
                <w:szCs w:val="20"/>
                <w:color w:val="auto"/>
              </w:rPr>
            </w:pPr>
            <w:r>
              <w:rPr>
                <w:rFonts w:ascii="Arial" w:cs="Arial" w:eastAsia="Arial" w:hAnsi="Arial"/>
                <w:sz w:val="11"/>
                <w:szCs w:val="11"/>
                <w:b w:val="1"/>
                <w:bCs w:val="1"/>
                <w:color w:val="auto"/>
              </w:rPr>
              <w:t>Exhibit</w:t>
            </w: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320" w:type="dxa"/>
            <w:vAlign w:val="bottom"/>
            <w:gridSpan w:val="13"/>
            <w:vMerge w:val="restart"/>
          </w:tcPr>
          <w:p>
            <w:pPr>
              <w:ind w:left="760"/>
              <w:spacing w:after="0"/>
              <w:rPr>
                <w:sz w:val="20"/>
                <w:szCs w:val="20"/>
                <w:color w:val="auto"/>
              </w:rPr>
            </w:pPr>
            <w:r>
              <w:rPr>
                <w:rFonts w:ascii="Arial" w:cs="Arial" w:eastAsia="Arial" w:hAnsi="Arial"/>
                <w:sz w:val="11"/>
                <w:szCs w:val="11"/>
                <w:b w:val="1"/>
                <w:bCs w:val="1"/>
                <w:color w:val="auto"/>
              </w:rPr>
              <w:t>Description of Exhibit</w:t>
            </w:r>
          </w:p>
        </w:tc>
        <w:tc>
          <w:tcPr>
            <w:tcW w:w="80" w:type="dxa"/>
            <w:vAlign w:val="bottom"/>
            <w:vMerge w:val="restart"/>
          </w:tcPr>
          <w:p>
            <w:pPr>
              <w:spacing w:after="0"/>
              <w:rPr>
                <w:sz w:val="9"/>
                <w:szCs w:val="9"/>
                <w:color w:val="auto"/>
              </w:rPr>
            </w:pPr>
          </w:p>
        </w:tc>
        <w:tc>
          <w:tcPr>
            <w:tcW w:w="15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Filing Entity1</w:t>
            </w:r>
          </w:p>
        </w:tc>
        <w:tc>
          <w:tcPr>
            <w:tcW w:w="1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Form</w:t>
            </w:r>
          </w:p>
        </w:tc>
        <w:tc>
          <w:tcPr>
            <w:tcW w:w="80" w:type="dxa"/>
            <w:vAlign w:val="bottom"/>
            <w:vMerge w:val="restart"/>
          </w:tcPr>
          <w:p>
            <w:pPr>
              <w:spacing w:after="0"/>
              <w:rPr>
                <w:sz w:val="9"/>
                <w:szCs w:val="9"/>
                <w:color w:val="auto"/>
              </w:rPr>
            </w:pPr>
          </w:p>
        </w:tc>
        <w:tc>
          <w:tcPr>
            <w:tcW w:w="8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Exhibit</w:t>
            </w:r>
          </w:p>
        </w:tc>
        <w:tc>
          <w:tcPr>
            <w:tcW w:w="100" w:type="dxa"/>
            <w:vAlign w:val="bottom"/>
            <w:vMerge w:val="restart"/>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Filing Date</w:t>
            </w:r>
          </w:p>
        </w:tc>
        <w:tc>
          <w:tcPr>
            <w:tcW w:w="80" w:type="dxa"/>
            <w:vAlign w:val="bottom"/>
            <w:vMerge w:val="restart"/>
          </w:tcPr>
          <w:p>
            <w:pPr>
              <w:spacing w:after="0"/>
              <w:rPr>
                <w:sz w:val="9"/>
                <w:szCs w:val="9"/>
                <w:color w:val="auto"/>
              </w:rPr>
            </w:pPr>
          </w:p>
        </w:tc>
        <w:tc>
          <w:tcPr>
            <w:tcW w:w="102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Filed</w:t>
            </w:r>
          </w:p>
        </w:tc>
        <w:tc>
          <w:tcPr>
            <w:tcW w:w="0" w:type="dxa"/>
            <w:vAlign w:val="bottom"/>
          </w:tcPr>
          <w:p>
            <w:pPr>
              <w:spacing w:after="0"/>
              <w:rPr>
                <w:sz w:val="1"/>
                <w:szCs w:val="1"/>
                <w:color w:val="auto"/>
              </w:rPr>
            </w:pPr>
          </w:p>
        </w:tc>
      </w:tr>
      <w:tr>
        <w:trPr>
          <w:trHeight w:val="138"/>
        </w:trPr>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gridSpan w:val="1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(File No.)</w:t>
            </w:r>
          </w:p>
        </w:tc>
        <w:tc>
          <w:tcPr>
            <w:tcW w:w="10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Herewith</w:t>
            </w:r>
          </w:p>
        </w:tc>
        <w:tc>
          <w:tcPr>
            <w:tcW w:w="0" w:type="dxa"/>
            <w:vAlign w:val="bottom"/>
          </w:tcPr>
          <w:p>
            <w:pPr>
              <w:spacing w:after="0"/>
              <w:rPr>
                <w:sz w:val="1"/>
                <w:szCs w:val="1"/>
                <w:color w:val="auto"/>
              </w:rPr>
            </w:pPr>
          </w:p>
        </w:tc>
      </w:tr>
      <w:tr>
        <w:trPr>
          <w:trHeight w:val="150"/>
        </w:trPr>
        <w:tc>
          <w:tcPr>
            <w:tcW w:w="1120" w:type="dxa"/>
            <w:vAlign w:val="bottom"/>
          </w:tcPr>
          <w:p>
            <w:pPr>
              <w:ind w:left="20"/>
              <w:spacing w:after="0" w:line="150"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3"/>
                <w:szCs w:val="13"/>
                <w:color w:val="auto"/>
              </w:rPr>
            </w:pPr>
          </w:p>
        </w:tc>
        <w:tc>
          <w:tcPr>
            <w:tcW w:w="4020" w:type="dxa"/>
            <w:vAlign w:val="bottom"/>
            <w:gridSpan w:val="16"/>
          </w:tcPr>
          <w:p>
            <w:pPr>
              <w:spacing w:after="0" w:line="150" w:lineRule="exact"/>
              <w:rPr>
                <w:sz w:val="20"/>
                <w:szCs w:val="20"/>
                <w:color w:val="auto"/>
              </w:rPr>
            </w:pPr>
            <w:r>
              <w:rPr>
                <w:rFonts w:ascii="Arial" w:cs="Arial" w:eastAsia="Arial" w:hAnsi="Arial"/>
                <w:sz w:val="14"/>
                <w:szCs w:val="14"/>
                <w:color w:val="0000FF"/>
              </w:rPr>
              <w:t>Description of First Busey Corporation’s Securities Registered</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0"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80" w:type="dxa"/>
            <w:vAlign w:val="bottom"/>
            <w:tcBorders>
              <w:top w:val="single" w:sz="8" w:color="0000FF"/>
            </w:tcBorders>
            <w:gridSpan w:val="13"/>
          </w:tcPr>
          <w:p>
            <w:pPr>
              <w:spacing w:after="0" w:line="150" w:lineRule="exact"/>
              <w:rPr>
                <w:sz w:val="20"/>
                <w:szCs w:val="20"/>
                <w:color w:val="auto"/>
              </w:rPr>
            </w:pPr>
            <w:r>
              <w:rPr>
                <w:rFonts w:ascii="Arial" w:cs="Arial" w:eastAsia="Arial" w:hAnsi="Arial"/>
                <w:sz w:val="14"/>
                <w:szCs w:val="14"/>
                <w:color w:val="0000FF"/>
              </w:rPr>
              <w:t>Pursuant to Section 12 of The Securities Exchange Act of</w:t>
            </w:r>
          </w:p>
        </w:tc>
        <w:tc>
          <w:tcPr>
            <w:tcW w:w="140" w:type="dxa"/>
            <w:vAlign w:val="bottom"/>
            <w:gridSpan w:val="3"/>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0" w:lineRule="exact"/>
              <w:rPr>
                <w:sz w:val="20"/>
                <w:szCs w:val="20"/>
                <w:color w:val="auto"/>
              </w:rPr>
            </w:pPr>
            <w:r>
              <w:rPr>
                <w:rFonts w:ascii="Arial" w:cs="Arial" w:eastAsia="Arial" w:hAnsi="Arial"/>
                <w:sz w:val="14"/>
                <w:szCs w:val="14"/>
                <w:color w:val="0000FF"/>
                <w:w w:val="96"/>
              </w:rPr>
              <w:t>1934</w:t>
            </w:r>
          </w:p>
        </w:tc>
        <w:tc>
          <w:tcPr>
            <w:tcW w:w="30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1120" w:type="dxa"/>
            <w:vAlign w:val="bottom"/>
          </w:tcPr>
          <w:p>
            <w:pPr>
              <w:ind w:left="2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4020" w:type="dxa"/>
            <w:vAlign w:val="bottom"/>
            <w:gridSpan w:val="16"/>
          </w:tcPr>
          <w:p>
            <w:pPr>
              <w:spacing w:after="0"/>
              <w:rPr>
                <w:sz w:val="20"/>
                <w:szCs w:val="20"/>
                <w:color w:val="auto"/>
              </w:rPr>
            </w:pPr>
            <w:r>
              <w:rPr>
                <w:rFonts w:ascii="Arial" w:cs="Arial" w:eastAsia="Arial" w:hAnsi="Arial"/>
                <w:sz w:val="14"/>
                <w:szCs w:val="14"/>
                <w:color w:val="auto"/>
              </w:rPr>
              <w:t>Certificate of Designation of Series A Non-Cumulative</w:t>
            </w:r>
          </w:p>
        </w:tc>
        <w:tc>
          <w:tcPr>
            <w:tcW w:w="1580" w:type="dxa"/>
            <w:vAlign w:val="bottom"/>
          </w:tcPr>
          <w:p>
            <w:pPr>
              <w:jc w:val="center"/>
              <w:spacing w:after="0"/>
              <w:rPr>
                <w:sz w:val="20"/>
                <w:szCs w:val="20"/>
                <w:color w:val="auto"/>
              </w:rPr>
            </w:pPr>
            <w:r>
              <w:rPr>
                <w:rFonts w:ascii="Arial" w:cs="Arial" w:eastAsia="Arial" w:hAnsi="Arial"/>
                <w:sz w:val="14"/>
                <w:szCs w:val="14"/>
                <w:color w:val="auto"/>
                <w:w w:val="99"/>
              </w:rPr>
              <w:t>BUSE</w:t>
            </w:r>
          </w:p>
        </w:tc>
        <w:tc>
          <w:tcPr>
            <w:tcW w:w="10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800" w:type="dxa"/>
            <w:vAlign w:val="bottom"/>
          </w:tcPr>
          <w:p>
            <w:pPr>
              <w:jc w:val="right"/>
              <w:ind w:right="234"/>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03/03/2025</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gridSpan w:val="16"/>
          </w:tcPr>
          <w:p>
            <w:pPr>
              <w:spacing w:after="0"/>
              <w:rPr>
                <w:sz w:val="20"/>
                <w:szCs w:val="20"/>
                <w:color w:val="auto"/>
              </w:rPr>
            </w:pPr>
            <w:r>
              <w:rPr>
                <w:rFonts w:ascii="Arial" w:cs="Arial" w:eastAsia="Arial" w:hAnsi="Arial"/>
                <w:sz w:val="14"/>
                <w:szCs w:val="14"/>
                <w:color w:val="auto"/>
              </w:rPr>
              <w:t>Perpetual Preferred Stock of First Busey Corporation</w:t>
            </w:r>
          </w:p>
        </w:tc>
        <w:tc>
          <w:tcPr>
            <w:tcW w:w="1580" w:type="dxa"/>
            <w:vAlign w:val="bottom"/>
          </w:tcPr>
          <w:p>
            <w:pPr>
              <w:jc w:val="center"/>
              <w:spacing w:after="0"/>
              <w:rPr>
                <w:sz w:val="20"/>
                <w:szCs w:val="20"/>
                <w:color w:val="auto"/>
              </w:rPr>
            </w:pPr>
            <w:r>
              <w:rPr>
                <w:rFonts w:ascii="Arial" w:cs="Arial" w:eastAsia="Arial" w:hAnsi="Arial"/>
                <w:sz w:val="14"/>
                <w:szCs w:val="14"/>
                <w:color w:val="auto"/>
                <w:w w:val="99"/>
              </w:rPr>
              <w:t>(000-15950)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1220" w:type="dxa"/>
            <w:vAlign w:val="bottom"/>
            <w:gridSpan w:val="2"/>
          </w:tcPr>
          <w:p>
            <w:pPr>
              <w:ind w:left="20"/>
              <w:spacing w:after="0"/>
              <w:rPr>
                <w:sz w:val="20"/>
                <w:szCs w:val="20"/>
                <w:color w:val="auto"/>
              </w:rPr>
            </w:pPr>
            <w:r>
              <w:rPr>
                <w:rFonts w:ascii="Arial" w:cs="Arial" w:eastAsia="Arial" w:hAnsi="Arial"/>
                <w:sz w:val="14"/>
                <w:szCs w:val="14"/>
                <w:color w:val="auto"/>
              </w:rPr>
              <w:t>10.1†</w:t>
            </w:r>
          </w:p>
        </w:tc>
        <w:tc>
          <w:tcPr>
            <w:tcW w:w="390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rPr>
              <w:t>Amendment to Employment Agreement, dated March 4, 2025,</w:t>
            </w:r>
          </w:p>
        </w:tc>
        <w:tc>
          <w:tcPr>
            <w:tcW w:w="12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20" w:type="dxa"/>
            <w:vAlign w:val="bottom"/>
            <w:gridSpan w:val="16"/>
          </w:tcPr>
          <w:p>
            <w:pPr>
              <w:spacing w:after="0" w:line="150" w:lineRule="exact"/>
              <w:rPr>
                <w:sz w:val="20"/>
                <w:szCs w:val="20"/>
                <w:color w:val="auto"/>
              </w:rPr>
            </w:pPr>
            <w:r>
              <w:rPr>
                <w:rFonts w:ascii="Arial" w:cs="Arial" w:eastAsia="Arial" w:hAnsi="Arial"/>
                <w:sz w:val="14"/>
                <w:szCs w:val="14"/>
                <w:color w:val="0000FF"/>
              </w:rPr>
              <w:t>by and between First Busey Corporation and Amy L.</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0" w:lineRule="exact"/>
              <w:rPr>
                <w:sz w:val="20"/>
                <w:szCs w:val="20"/>
                <w:color w:val="auto"/>
              </w:rPr>
            </w:pPr>
            <w:r>
              <w:rPr>
                <w:rFonts w:ascii="Arial" w:cs="Arial" w:eastAsia="Arial" w:hAnsi="Arial"/>
                <w:sz w:val="14"/>
                <w:szCs w:val="14"/>
                <w:color w:val="0000FF"/>
              </w:rPr>
              <w:t>Randolph</w:t>
            </w:r>
          </w:p>
        </w:tc>
        <w:tc>
          <w:tcPr>
            <w:tcW w:w="2660" w:type="dxa"/>
            <w:vAlign w:val="bottom"/>
            <w:tcBorders>
              <w:top w:val="single" w:sz="8" w:color="0000FF"/>
            </w:tcBorders>
            <w:gridSpan w:val="5"/>
          </w:tcPr>
          <w:p>
            <w:pPr>
              <w:spacing w:after="0"/>
              <w:rPr>
                <w:sz w:val="13"/>
                <w:szCs w:val="13"/>
                <w:color w:val="auto"/>
              </w:rPr>
            </w:pPr>
          </w:p>
        </w:tc>
        <w:tc>
          <w:tcPr>
            <w:tcW w:w="740" w:type="dxa"/>
            <w:vAlign w:val="bottom"/>
            <w:gridSpan w:val="9"/>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1220" w:type="dxa"/>
            <w:vAlign w:val="bottom"/>
            <w:gridSpan w:val="2"/>
          </w:tcPr>
          <w:p>
            <w:pPr>
              <w:ind w:left="20"/>
              <w:spacing w:after="0"/>
              <w:rPr>
                <w:sz w:val="20"/>
                <w:szCs w:val="20"/>
                <w:color w:val="auto"/>
              </w:rPr>
            </w:pPr>
            <w:r>
              <w:rPr>
                <w:rFonts w:ascii="Arial" w:cs="Arial" w:eastAsia="Arial" w:hAnsi="Arial"/>
                <w:sz w:val="14"/>
                <w:szCs w:val="14"/>
                <w:color w:val="auto"/>
              </w:rPr>
              <w:t>10.2†</w:t>
            </w:r>
          </w:p>
        </w:tc>
        <w:tc>
          <w:tcPr>
            <w:tcW w:w="4020" w:type="dxa"/>
            <w:vAlign w:val="bottom"/>
            <w:gridSpan w:val="16"/>
          </w:tcPr>
          <w:p>
            <w:pPr>
              <w:spacing w:after="0"/>
              <w:rPr>
                <w:sz w:val="20"/>
                <w:szCs w:val="20"/>
                <w:color w:val="auto"/>
              </w:rPr>
            </w:pPr>
            <w:r>
              <w:rPr>
                <w:rFonts w:ascii="Arial" w:cs="Arial" w:eastAsia="Arial" w:hAnsi="Arial"/>
                <w:sz w:val="14"/>
                <w:szCs w:val="14"/>
                <w:color w:val="0000FF"/>
              </w:rPr>
              <w:t>Form of Retention Agreement, dated March 1, 2025</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220" w:type="dxa"/>
            <w:vAlign w:val="bottom"/>
            <w:gridSpan w:val="2"/>
          </w:tcPr>
          <w:p>
            <w:pPr>
              <w:ind w:left="20"/>
              <w:spacing w:after="0"/>
              <w:rPr>
                <w:sz w:val="20"/>
                <w:szCs w:val="20"/>
                <w:color w:val="auto"/>
              </w:rPr>
            </w:pPr>
            <w:r>
              <w:rPr>
                <w:rFonts w:ascii="Arial" w:cs="Arial" w:eastAsia="Arial" w:hAnsi="Arial"/>
                <w:sz w:val="14"/>
                <w:szCs w:val="14"/>
                <w:color w:val="auto"/>
              </w:rPr>
              <w:t>10.3†</w:t>
            </w:r>
          </w:p>
        </w:tc>
        <w:tc>
          <w:tcPr>
            <w:tcW w:w="4020" w:type="dxa"/>
            <w:vAlign w:val="bottom"/>
            <w:gridSpan w:val="16"/>
          </w:tcPr>
          <w:p>
            <w:pPr>
              <w:spacing w:after="0"/>
              <w:rPr>
                <w:sz w:val="20"/>
                <w:szCs w:val="20"/>
                <w:color w:val="auto"/>
              </w:rPr>
            </w:pPr>
            <w:r>
              <w:rPr>
                <w:rFonts w:ascii="Arial" w:cs="Arial" w:eastAsia="Arial" w:hAnsi="Arial"/>
                <w:sz w:val="14"/>
                <w:szCs w:val="14"/>
                <w:color w:val="auto"/>
              </w:rPr>
              <w:t>Separation Agreement between First Busey Corporation and</w:t>
            </w:r>
          </w:p>
        </w:tc>
        <w:tc>
          <w:tcPr>
            <w:tcW w:w="1580" w:type="dxa"/>
            <w:vAlign w:val="bottom"/>
          </w:tcPr>
          <w:p>
            <w:pPr>
              <w:jc w:val="center"/>
              <w:spacing w:after="0"/>
              <w:rPr>
                <w:sz w:val="20"/>
                <w:szCs w:val="20"/>
                <w:color w:val="auto"/>
              </w:rPr>
            </w:pPr>
            <w:r>
              <w:rPr>
                <w:rFonts w:ascii="Arial" w:cs="Arial" w:eastAsia="Arial" w:hAnsi="Arial"/>
                <w:sz w:val="14"/>
                <w:szCs w:val="14"/>
                <w:color w:val="auto"/>
                <w:w w:val="99"/>
              </w:rPr>
              <w:t>BUSE</w:t>
            </w:r>
          </w:p>
        </w:tc>
        <w:tc>
          <w:tcPr>
            <w:tcW w:w="10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800" w:type="dxa"/>
            <w:vAlign w:val="bottom"/>
          </w:tcPr>
          <w:p>
            <w:pPr>
              <w:jc w:val="right"/>
              <w:ind w:right="194"/>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02/21/2025</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gridSpan w:val="16"/>
          </w:tcPr>
          <w:p>
            <w:pPr>
              <w:spacing w:after="0"/>
              <w:rPr>
                <w:sz w:val="20"/>
                <w:szCs w:val="20"/>
                <w:color w:val="auto"/>
              </w:rPr>
            </w:pPr>
            <w:r>
              <w:rPr>
                <w:rFonts w:ascii="Arial" w:cs="Arial" w:eastAsia="Arial" w:hAnsi="Arial"/>
                <w:sz w:val="14"/>
                <w:szCs w:val="14"/>
                <w:color w:val="auto"/>
              </w:rPr>
              <w:t>Jeffrey D. Jones, dated February 18, 2025</w:t>
            </w:r>
          </w:p>
        </w:tc>
        <w:tc>
          <w:tcPr>
            <w:tcW w:w="1580" w:type="dxa"/>
            <w:vAlign w:val="bottom"/>
          </w:tcPr>
          <w:p>
            <w:pPr>
              <w:jc w:val="center"/>
              <w:spacing w:after="0"/>
              <w:rPr>
                <w:sz w:val="20"/>
                <w:szCs w:val="20"/>
                <w:color w:val="auto"/>
              </w:rPr>
            </w:pPr>
            <w:r>
              <w:rPr>
                <w:rFonts w:ascii="Arial" w:cs="Arial" w:eastAsia="Arial" w:hAnsi="Arial"/>
                <w:sz w:val="14"/>
                <w:szCs w:val="14"/>
                <w:color w:val="auto"/>
                <w:w w:val="99"/>
              </w:rPr>
              <w:t>(000-15950)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1120" w:type="dxa"/>
            <w:vAlign w:val="bottom"/>
          </w:tcPr>
          <w:p>
            <w:pPr>
              <w:ind w:left="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4"/>
                <w:szCs w:val="24"/>
                <w:color w:val="auto"/>
              </w:rPr>
            </w:pPr>
          </w:p>
        </w:tc>
        <w:tc>
          <w:tcPr>
            <w:tcW w:w="338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rPr>
              <w:t>Certification of Principal Executive Officer, pursuant to</w:t>
            </w:r>
          </w:p>
        </w:tc>
        <w:tc>
          <w:tcPr>
            <w:tcW w:w="640" w:type="dxa"/>
            <w:vAlign w:val="bottom"/>
            <w:gridSpan w:val="7"/>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20" w:type="dxa"/>
            <w:vAlign w:val="bottom"/>
            <w:gridSpan w:val="16"/>
          </w:tcPr>
          <w:p>
            <w:pPr>
              <w:spacing w:after="0" w:line="150" w:lineRule="exact"/>
              <w:rPr>
                <w:sz w:val="20"/>
                <w:szCs w:val="20"/>
                <w:color w:val="auto"/>
              </w:rPr>
            </w:pPr>
            <w:r>
              <w:rPr>
                <w:rFonts w:ascii="Arial" w:cs="Arial" w:eastAsia="Arial" w:hAnsi="Arial"/>
                <w:sz w:val="14"/>
                <w:szCs w:val="14"/>
                <w:color w:val="0000FF"/>
              </w:rPr>
              <w:t>Rule 13a-14(a) and Rule 15d-14(a)</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120" w:type="dxa"/>
            <w:vAlign w:val="bottom"/>
          </w:tcPr>
          <w:p>
            <w:pPr>
              <w:ind w:left="2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4"/>
                <w:szCs w:val="24"/>
                <w:color w:val="auto"/>
              </w:rPr>
            </w:pPr>
          </w:p>
        </w:tc>
        <w:tc>
          <w:tcPr>
            <w:tcW w:w="334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Certification of Principal Financial Officer, pursuant to</w:t>
            </w:r>
          </w:p>
        </w:tc>
        <w:tc>
          <w:tcPr>
            <w:tcW w:w="680" w:type="dxa"/>
            <w:vAlign w:val="bottom"/>
            <w:gridSpan w:val="8"/>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20" w:type="dxa"/>
            <w:vAlign w:val="bottom"/>
            <w:gridSpan w:val="16"/>
          </w:tcPr>
          <w:p>
            <w:pPr>
              <w:spacing w:after="0" w:line="150" w:lineRule="exact"/>
              <w:rPr>
                <w:sz w:val="20"/>
                <w:szCs w:val="20"/>
                <w:color w:val="auto"/>
              </w:rPr>
            </w:pPr>
            <w:r>
              <w:rPr>
                <w:rFonts w:ascii="Arial" w:cs="Arial" w:eastAsia="Arial" w:hAnsi="Arial"/>
                <w:sz w:val="14"/>
                <w:szCs w:val="14"/>
                <w:color w:val="0000FF"/>
              </w:rPr>
              <w:t>Rule 13a-14(a) and Rule 15d-14(a)</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120" w:type="dxa"/>
            <w:vAlign w:val="bottom"/>
          </w:tcPr>
          <w:p>
            <w:pPr>
              <w:ind w:left="2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4"/>
                <w:szCs w:val="24"/>
                <w:color w:val="auto"/>
              </w:rPr>
            </w:pPr>
          </w:p>
        </w:tc>
        <w:tc>
          <w:tcPr>
            <w:tcW w:w="380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Certification pursuant to 18 U.S.C. Section 1350, as adopted</w:t>
            </w:r>
          </w:p>
        </w:tc>
        <w:tc>
          <w:tcPr>
            <w:tcW w:w="220" w:type="dxa"/>
            <w:vAlign w:val="bottom"/>
            <w:gridSpan w:val="4"/>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20" w:type="dxa"/>
            <w:vAlign w:val="bottom"/>
            <w:gridSpan w:val="16"/>
          </w:tcPr>
          <w:p>
            <w:pPr>
              <w:spacing w:after="0" w:line="150" w:lineRule="exact"/>
              <w:rPr>
                <w:sz w:val="20"/>
                <w:szCs w:val="20"/>
                <w:color w:val="auto"/>
              </w:rPr>
            </w:pPr>
            <w:r>
              <w:rPr>
                <w:rFonts w:ascii="Arial" w:cs="Arial" w:eastAsia="Arial" w:hAnsi="Arial"/>
                <w:sz w:val="14"/>
                <w:szCs w:val="14"/>
                <w:color w:val="0000FF"/>
              </w:rPr>
              <w:t>pursuant to Section 906 of the Sarbanes-Oxley Act of 2002,</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5"/>
          </w:tcPr>
          <w:p>
            <w:pPr>
              <w:spacing w:after="0" w:line="150" w:lineRule="exact"/>
              <w:rPr>
                <w:sz w:val="20"/>
                <w:szCs w:val="20"/>
                <w:color w:val="auto"/>
              </w:rPr>
            </w:pPr>
            <w:r>
              <w:rPr>
                <w:rFonts w:ascii="Arial" w:cs="Arial" w:eastAsia="Arial" w:hAnsi="Arial"/>
                <w:sz w:val="14"/>
                <w:szCs w:val="14"/>
                <w:color w:val="0000FF"/>
              </w:rPr>
              <w:t>from First Busey’s Chief Executive Officer</w:t>
            </w:r>
          </w:p>
        </w:tc>
        <w:tc>
          <w:tcPr>
            <w:tcW w:w="1120" w:type="dxa"/>
            <w:vAlign w:val="bottom"/>
            <w:tcBorders>
              <w:top w:val="single" w:sz="8" w:color="0000FF"/>
            </w:tcBorders>
            <w:gridSpan w:val="6"/>
          </w:tcPr>
          <w:p>
            <w:pPr>
              <w:spacing w:after="0"/>
              <w:rPr>
                <w:sz w:val="13"/>
                <w:szCs w:val="13"/>
                <w:color w:val="auto"/>
              </w:rPr>
            </w:pPr>
          </w:p>
        </w:tc>
        <w:tc>
          <w:tcPr>
            <w:tcW w:w="280" w:type="dxa"/>
            <w:vAlign w:val="bottom"/>
            <w:gridSpan w:val="5"/>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1120" w:type="dxa"/>
            <w:vAlign w:val="bottom"/>
          </w:tcPr>
          <w:p>
            <w:pPr>
              <w:ind w:left="20"/>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4"/>
                <w:szCs w:val="24"/>
                <w:color w:val="auto"/>
              </w:rPr>
            </w:pPr>
          </w:p>
        </w:tc>
        <w:tc>
          <w:tcPr>
            <w:tcW w:w="380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Certification pursuant to 18 U.S.C. Section 1350, as adopted</w:t>
            </w:r>
          </w:p>
        </w:tc>
        <w:tc>
          <w:tcPr>
            <w:tcW w:w="220" w:type="dxa"/>
            <w:vAlign w:val="bottom"/>
            <w:gridSpan w:val="4"/>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20" w:type="dxa"/>
            <w:vAlign w:val="bottom"/>
            <w:gridSpan w:val="16"/>
          </w:tcPr>
          <w:p>
            <w:pPr>
              <w:spacing w:after="0" w:line="150" w:lineRule="exact"/>
              <w:rPr>
                <w:sz w:val="20"/>
                <w:szCs w:val="20"/>
                <w:color w:val="auto"/>
              </w:rPr>
            </w:pPr>
            <w:r>
              <w:rPr>
                <w:rFonts w:ascii="Arial" w:cs="Arial" w:eastAsia="Arial" w:hAnsi="Arial"/>
                <w:sz w:val="14"/>
                <w:szCs w:val="14"/>
                <w:color w:val="0000FF"/>
              </w:rPr>
              <w:t>pursuant to Section 906 of the Sarbanes-Oxley Act of 2002,</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tcBorders>
              <w:top w:val="single" w:sz="8" w:color="0000FF"/>
            </w:tcBorders>
            <w:gridSpan w:val="11"/>
          </w:tcPr>
          <w:p>
            <w:pPr>
              <w:spacing w:after="0" w:line="150" w:lineRule="exact"/>
              <w:rPr>
                <w:sz w:val="20"/>
                <w:szCs w:val="20"/>
                <w:color w:val="auto"/>
              </w:rPr>
            </w:pPr>
            <w:r>
              <w:rPr>
                <w:rFonts w:ascii="Arial" w:cs="Arial" w:eastAsia="Arial" w:hAnsi="Arial"/>
                <w:sz w:val="14"/>
                <w:szCs w:val="14"/>
                <w:color w:val="0000FF"/>
              </w:rPr>
              <w:t>from First Busey’s Chief Financial Officer</w:t>
            </w:r>
          </w:p>
        </w:tc>
        <w:tc>
          <w:tcPr>
            <w:tcW w:w="280" w:type="dxa"/>
            <w:vAlign w:val="bottom"/>
            <w:gridSpan w:val="5"/>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3"/>
        </w:trPr>
        <w:tc>
          <w:tcPr>
            <w:tcW w:w="122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560" w:type="dxa"/>
            <w:vAlign w:val="bottom"/>
            <w:tcBorders>
              <w:top w:val="single" w:sz="8" w:color="0000FF"/>
            </w:tcBorders>
            <w:gridSpan w:val="4"/>
          </w:tcPr>
          <w:p>
            <w:pPr>
              <w:spacing w:after="0"/>
              <w:rPr>
                <w:sz w:val="20"/>
                <w:szCs w:val="20"/>
                <w:color w:val="auto"/>
              </w:rPr>
            </w:pPr>
            <w:r>
              <w:rPr>
                <w:rFonts w:ascii="Arial" w:cs="Arial" w:eastAsia="Arial" w:hAnsi="Arial"/>
                <w:sz w:val="14"/>
                <w:szCs w:val="14"/>
                <w:color w:val="auto"/>
              </w:rPr>
              <w:t>iXBRL Instance Document</w:t>
            </w:r>
          </w:p>
        </w:tc>
        <w:tc>
          <w:tcPr>
            <w:tcW w:w="1460" w:type="dxa"/>
            <w:vAlign w:val="bottom"/>
            <w:gridSpan w:val="12"/>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2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4020" w:type="dxa"/>
            <w:vAlign w:val="bottom"/>
            <w:gridSpan w:val="16"/>
          </w:tcPr>
          <w:p>
            <w:pPr>
              <w:spacing w:after="0"/>
              <w:rPr>
                <w:sz w:val="20"/>
                <w:szCs w:val="20"/>
                <w:color w:val="auto"/>
              </w:rPr>
            </w:pPr>
            <w:r>
              <w:rPr>
                <w:rFonts w:ascii="Arial" w:cs="Arial" w:eastAsia="Arial" w:hAnsi="Arial"/>
                <w:sz w:val="14"/>
                <w:szCs w:val="14"/>
                <w:color w:val="auto"/>
              </w:rPr>
              <w:t>iXBRL Taxonomy Extension Schema</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2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4020" w:type="dxa"/>
            <w:vAlign w:val="bottom"/>
            <w:gridSpan w:val="16"/>
          </w:tcPr>
          <w:p>
            <w:pPr>
              <w:spacing w:after="0"/>
              <w:rPr>
                <w:sz w:val="20"/>
                <w:szCs w:val="20"/>
                <w:color w:val="auto"/>
              </w:rPr>
            </w:pPr>
            <w:r>
              <w:rPr>
                <w:rFonts w:ascii="Arial" w:cs="Arial" w:eastAsia="Arial" w:hAnsi="Arial"/>
                <w:sz w:val="14"/>
                <w:szCs w:val="14"/>
                <w:color w:val="auto"/>
              </w:rPr>
              <w:t>iXBRL Taxonomy Extension Calculation Linkbase</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2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4020" w:type="dxa"/>
            <w:vAlign w:val="bottom"/>
            <w:gridSpan w:val="16"/>
          </w:tcPr>
          <w:p>
            <w:pPr>
              <w:spacing w:after="0"/>
              <w:rPr>
                <w:sz w:val="20"/>
                <w:szCs w:val="20"/>
                <w:color w:val="auto"/>
              </w:rPr>
            </w:pPr>
            <w:r>
              <w:rPr>
                <w:rFonts w:ascii="Arial" w:cs="Arial" w:eastAsia="Arial" w:hAnsi="Arial"/>
                <w:sz w:val="14"/>
                <w:szCs w:val="14"/>
                <w:color w:val="auto"/>
              </w:rPr>
              <w:t>iXBRL Taxonomy Extension Label Linkbase</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6"/>
          </w:tcPr>
          <w:p>
            <w:pPr>
              <w:ind w:left="220"/>
              <w:spacing w:after="0"/>
              <w:rPr>
                <w:sz w:val="20"/>
                <w:szCs w:val="20"/>
                <w:color w:val="auto"/>
              </w:rPr>
            </w:pPr>
            <w:r>
              <w:rPr>
                <w:rFonts w:ascii="Arial" w:cs="Arial" w:eastAsia="Arial" w:hAnsi="Arial"/>
                <w:sz w:val="11"/>
                <w:szCs w:val="11"/>
                <w:b w:val="1"/>
                <w:bCs w:val="1"/>
                <w:color w:val="auto"/>
              </w:rPr>
              <w:t>Incorporated herein by reference</w:t>
            </w:r>
          </w:p>
        </w:tc>
        <w:tc>
          <w:tcPr>
            <w:tcW w:w="1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220" w:type="dxa"/>
            <w:vAlign w:val="bottom"/>
            <w:gridSpan w:val="2"/>
          </w:tcPr>
          <w:p>
            <w:pPr>
              <w:jc w:val="center"/>
              <w:ind w:right="80"/>
              <w:spacing w:after="0" w:line="107" w:lineRule="exact"/>
              <w:rPr>
                <w:sz w:val="20"/>
                <w:szCs w:val="20"/>
                <w:color w:val="auto"/>
              </w:rPr>
            </w:pPr>
            <w:r>
              <w:rPr>
                <w:rFonts w:ascii="Arial" w:cs="Arial" w:eastAsia="Arial" w:hAnsi="Arial"/>
                <w:sz w:val="11"/>
                <w:szCs w:val="11"/>
                <w:b w:val="1"/>
                <w:bCs w:val="1"/>
                <w:color w:val="auto"/>
              </w:rPr>
              <w:t>Exhibit</w:t>
            </w:r>
          </w:p>
        </w:tc>
        <w:tc>
          <w:tcPr>
            <w:tcW w:w="3960" w:type="dxa"/>
            <w:vAlign w:val="bottom"/>
            <w:vMerge w:val="restart"/>
          </w:tcPr>
          <w:p>
            <w:pPr>
              <w:ind w:left="1380"/>
              <w:spacing w:after="0"/>
              <w:rPr>
                <w:sz w:val="20"/>
                <w:szCs w:val="20"/>
                <w:color w:val="auto"/>
              </w:rPr>
            </w:pPr>
            <w:r>
              <w:rPr>
                <w:rFonts w:ascii="Arial" w:cs="Arial" w:eastAsia="Arial" w:hAnsi="Arial"/>
                <w:sz w:val="11"/>
                <w:szCs w:val="11"/>
                <w:b w:val="1"/>
                <w:bCs w:val="1"/>
                <w:color w:val="auto"/>
              </w:rPr>
              <w:t>Description of Exhibit</w:t>
            </w:r>
          </w:p>
        </w:tc>
        <w:tc>
          <w:tcPr>
            <w:tcW w:w="80" w:type="dxa"/>
            <w:vAlign w:val="bottom"/>
            <w:vMerge w:val="restart"/>
          </w:tcPr>
          <w:p>
            <w:pPr>
              <w:spacing w:after="0"/>
              <w:rPr>
                <w:sz w:val="9"/>
                <w:szCs w:val="9"/>
                <w:color w:val="auto"/>
              </w:rPr>
            </w:pPr>
          </w:p>
        </w:tc>
        <w:tc>
          <w:tcPr>
            <w:tcW w:w="1360" w:type="dxa"/>
            <w:vAlign w:val="bottom"/>
          </w:tcPr>
          <w:p>
            <w:pPr>
              <w:jc w:val="center"/>
              <w:ind w:left="163"/>
              <w:spacing w:after="0" w:line="107" w:lineRule="exact"/>
              <w:rPr>
                <w:sz w:val="20"/>
                <w:szCs w:val="20"/>
                <w:color w:val="auto"/>
              </w:rPr>
            </w:pPr>
            <w:r>
              <w:rPr>
                <w:rFonts w:ascii="Arial" w:cs="Arial" w:eastAsia="Arial" w:hAnsi="Arial"/>
                <w:sz w:val="11"/>
                <w:szCs w:val="11"/>
                <w:b w:val="1"/>
                <w:bCs w:val="1"/>
                <w:color w:val="auto"/>
              </w:rPr>
              <w:t>Filing Entity1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Form</w:t>
            </w:r>
          </w:p>
        </w:tc>
        <w:tc>
          <w:tcPr>
            <w:tcW w:w="100" w:type="dxa"/>
            <w:vAlign w:val="bottom"/>
            <w:vMerge w:val="restart"/>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Exhibit</w:t>
            </w:r>
          </w:p>
        </w:tc>
        <w:tc>
          <w:tcPr>
            <w:tcW w:w="80" w:type="dxa"/>
            <w:vAlign w:val="bottom"/>
            <w:vMerge w:val="restart"/>
          </w:tcPr>
          <w:p>
            <w:pPr>
              <w:spacing w:after="0"/>
              <w:rPr>
                <w:sz w:val="9"/>
                <w:szCs w:val="9"/>
                <w:color w:val="auto"/>
              </w:rPr>
            </w:pPr>
          </w:p>
        </w:tc>
        <w:tc>
          <w:tcPr>
            <w:tcW w:w="148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Filing Date</w:t>
            </w:r>
          </w:p>
        </w:tc>
        <w:tc>
          <w:tcPr>
            <w:tcW w:w="80" w:type="dxa"/>
            <w:vAlign w:val="bottom"/>
            <w:vMerge w:val="restart"/>
          </w:tcPr>
          <w:p>
            <w:pPr>
              <w:spacing w:after="0"/>
              <w:rPr>
                <w:sz w:val="9"/>
                <w:szCs w:val="9"/>
                <w:color w:val="auto"/>
              </w:rPr>
            </w:pPr>
          </w:p>
        </w:tc>
        <w:tc>
          <w:tcPr>
            <w:tcW w:w="102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Filed</w:t>
            </w:r>
          </w:p>
        </w:tc>
        <w:tc>
          <w:tcPr>
            <w:tcW w:w="0" w:type="dxa"/>
            <w:vAlign w:val="bottom"/>
          </w:tcPr>
          <w:p>
            <w:pPr>
              <w:spacing w:after="0"/>
              <w:rPr>
                <w:sz w:val="1"/>
                <w:szCs w:val="1"/>
                <w:color w:val="auto"/>
              </w:rPr>
            </w:pPr>
          </w:p>
        </w:tc>
      </w:tr>
      <w:tr>
        <w:trPr>
          <w:trHeight w:val="138"/>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39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360" w:type="dxa"/>
            <w:vAlign w:val="bottom"/>
            <w:tcBorders>
              <w:bottom w:val="single" w:sz="8" w:color="auto"/>
            </w:tcBorders>
          </w:tcPr>
          <w:p>
            <w:pPr>
              <w:jc w:val="center"/>
              <w:ind w:left="143"/>
              <w:spacing w:after="0"/>
              <w:rPr>
                <w:sz w:val="20"/>
                <w:szCs w:val="20"/>
                <w:color w:val="auto"/>
              </w:rPr>
            </w:pPr>
            <w:r>
              <w:rPr>
                <w:rFonts w:ascii="Arial" w:cs="Arial" w:eastAsia="Arial" w:hAnsi="Arial"/>
                <w:sz w:val="11"/>
                <w:szCs w:val="11"/>
                <w:b w:val="1"/>
                <w:bCs w:val="1"/>
                <w:color w:val="auto"/>
              </w:rPr>
              <w:t>(File No.)</w:t>
            </w: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Herewith</w:t>
            </w:r>
          </w:p>
        </w:tc>
        <w:tc>
          <w:tcPr>
            <w:tcW w:w="0" w:type="dxa"/>
            <w:vAlign w:val="bottom"/>
          </w:tcPr>
          <w:p>
            <w:pPr>
              <w:spacing w:after="0"/>
              <w:rPr>
                <w:sz w:val="1"/>
                <w:szCs w:val="1"/>
                <w:color w:val="auto"/>
              </w:rPr>
            </w:pPr>
          </w:p>
        </w:tc>
      </w:tr>
      <w:tr>
        <w:trPr>
          <w:trHeight w:val="183"/>
        </w:trPr>
        <w:tc>
          <w:tcPr>
            <w:tcW w:w="122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4040" w:type="dxa"/>
            <w:vAlign w:val="bottom"/>
            <w:gridSpan w:val="2"/>
          </w:tcPr>
          <w:p>
            <w:pPr>
              <w:spacing w:after="0"/>
              <w:rPr>
                <w:sz w:val="20"/>
                <w:szCs w:val="20"/>
                <w:color w:val="auto"/>
              </w:rPr>
            </w:pPr>
            <w:r>
              <w:rPr>
                <w:rFonts w:ascii="Arial" w:cs="Arial" w:eastAsia="Arial" w:hAnsi="Arial"/>
                <w:sz w:val="14"/>
                <w:szCs w:val="14"/>
                <w:color w:val="auto"/>
              </w:rPr>
              <w:t>iXBRL Taxonomy Extension Presentation Linkbase</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22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4040" w:type="dxa"/>
            <w:vAlign w:val="bottom"/>
            <w:gridSpan w:val="2"/>
          </w:tcPr>
          <w:p>
            <w:pPr>
              <w:spacing w:after="0"/>
              <w:rPr>
                <w:sz w:val="20"/>
                <w:szCs w:val="20"/>
                <w:color w:val="auto"/>
              </w:rPr>
            </w:pPr>
            <w:r>
              <w:rPr>
                <w:rFonts w:ascii="Arial" w:cs="Arial" w:eastAsia="Arial" w:hAnsi="Arial"/>
                <w:sz w:val="14"/>
                <w:szCs w:val="14"/>
                <w:color w:val="auto"/>
              </w:rPr>
              <w:t>iXBRL Taxonomy Extension Definition Linkbase</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220" w:right="6280" w:hanging="1201"/>
        <w:spacing w:after="0" w:line="271" w:lineRule="auto"/>
        <w:tabs>
          <w:tab w:leader="none" w:pos="12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with applicable taxonomy extension information contained in Exhibits 101)</w:t>
      </w:r>
    </w:p>
    <w:p>
      <w:pPr>
        <w:spacing w:after="0" w:line="205" w:lineRule="exact"/>
        <w:rPr>
          <w:rFonts w:ascii="Arial" w:cs="Arial" w:eastAsia="Arial" w:hAnsi="Arial"/>
          <w:sz w:val="14"/>
          <w:szCs w:val="14"/>
          <w:color w:val="auto"/>
        </w:rPr>
      </w:pPr>
    </w:p>
    <w:p>
      <w:pPr>
        <w:ind w:left="160" w:hanging="155"/>
        <w:spacing w:after="0"/>
        <w:tabs>
          <w:tab w:leader="none" w:pos="1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Management contract or compensatory plan.</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the Exchange Act, the Registrant has duly caused this report to be signed on its behalf by the undersigned, thereunto duly authorized, as of May 9, 2025.</w:t>
      </w:r>
    </w:p>
    <w:p>
      <w:pPr>
        <w:spacing w:after="0" w:line="163"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FIRST BUSEY CORPORATION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(Registrant)</w:t>
      </w:r>
    </w:p>
    <w:p>
      <w:pPr>
        <w:spacing w:after="0" w:line="249"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28575</wp:posOffset>
            </wp:positionV>
            <wp:extent cx="398145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3981450" cy="6985"/>
                    </a:xfrm>
                    <a:prstGeom prst="rect">
                      <a:avLst/>
                    </a:prstGeom>
                    <a:noFill/>
                  </pic:spPr>
                </pic:pic>
              </a:graphicData>
            </a:graphic>
          </wp:anchor>
        </w:drawing>
      </w:r>
    </w:p>
    <w:p>
      <w:pPr>
        <w:spacing w:after="0" w:line="42"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Van A. Dukeman</w:t>
      </w:r>
    </w:p>
    <w:p>
      <w:pPr>
        <w:spacing w:after="0" w:line="51"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Chairman and Chief Executive Officer</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(Principal Executive Officer)</w:t>
      </w:r>
    </w:p>
    <w:p>
      <w:pPr>
        <w:spacing w:after="0" w:line="249"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28575</wp:posOffset>
            </wp:positionV>
            <wp:extent cx="398145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3981450" cy="6985"/>
                    </a:xfrm>
                    <a:prstGeom prst="rect">
                      <a:avLst/>
                    </a:prstGeom>
                    <a:noFill/>
                  </pic:spPr>
                </pic:pic>
              </a:graphicData>
            </a:graphic>
          </wp:anchor>
        </w:drawing>
      </w:r>
    </w:p>
    <w:p>
      <w:pPr>
        <w:spacing w:after="0" w:line="42"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Scott A. Phillips</w:t>
      </w:r>
    </w:p>
    <w:p>
      <w:pPr>
        <w:spacing w:after="0" w:line="51"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Interim Chief Financial Officer, Executive Vice President and Chief Accounting Officer</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(Principal Financial Officer, Principal Accounting Officer)</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808285"/>
        </w:rPr>
        <w:t xml:space="preserve">First Busey Corporation (BUSE) | </w:t>
      </w:r>
      <w:r>
        <w:rPr>
          <w:rFonts w:ascii="Arial" w:cs="Arial" w:eastAsia="Arial" w:hAnsi="Arial"/>
          <w:sz w:val="14"/>
          <w:szCs w:val="14"/>
          <w:b w:val="1"/>
          <w:bCs w:val="1"/>
          <w:color w:val="376484"/>
        </w:rPr>
        <w:t>102</w:t>
      </w:r>
    </w:p>
    <w:p>
      <w:pPr>
        <w:sectPr>
          <w:pgSz w:w="11900" w:h="16838" w:orient="portrait"/>
          <w:cols w:equalWidth="0" w:num="1">
            <w:col w:w="11280"/>
          </w:cols>
          <w:pgMar w:left="300" w:top="263" w:right="319" w:bottom="1440" w:gutter="0" w:footer="0" w:header="0"/>
        </w:sectPr>
      </w:pPr>
    </w:p>
    <w:bookmarkStart w:id="102" w:name="page103"/>
    <w:bookmarkEnd w:id="102"/>
    <w:p>
      <w:pPr>
        <w:jc w:val="right"/>
        <w:spacing w:after="0"/>
        <w:rPr>
          <w:sz w:val="20"/>
          <w:szCs w:val="20"/>
          <w:color w:val="auto"/>
        </w:rPr>
      </w:pPr>
      <w:r>
        <w:rPr>
          <w:rFonts w:ascii="Verdana" w:cs="Verdana" w:eastAsia="Verdana" w:hAnsi="Verdana"/>
          <w:sz w:val="14"/>
          <w:szCs w:val="14"/>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color w:val="auto"/>
        </w:rPr>
        <w:t>DESCRIPTION OF</w:t>
      </w:r>
    </w:p>
    <w:p>
      <w:pPr>
        <w:jc w:val="center"/>
        <w:spacing w:after="0" w:line="234" w:lineRule="auto"/>
        <w:rPr>
          <w:sz w:val="20"/>
          <w:szCs w:val="20"/>
          <w:color w:val="auto"/>
        </w:rPr>
      </w:pPr>
      <w:r>
        <w:rPr>
          <w:rFonts w:ascii="Verdana" w:cs="Verdana" w:eastAsia="Verdana" w:hAnsi="Verdana"/>
          <w:sz w:val="17"/>
          <w:szCs w:val="17"/>
          <w:b w:val="1"/>
          <w:bCs w:val="1"/>
          <w:color w:val="auto"/>
        </w:rPr>
        <w:t>FIRST BUSEY CORPORATION’S SECURITIES</w:t>
      </w:r>
    </w:p>
    <w:p>
      <w:pPr>
        <w:jc w:val="center"/>
        <w:spacing w:after="0"/>
        <w:rPr>
          <w:sz w:val="20"/>
          <w:szCs w:val="20"/>
          <w:color w:val="auto"/>
        </w:rPr>
      </w:pPr>
      <w:r>
        <w:rPr>
          <w:rFonts w:ascii="Verdana" w:cs="Verdana" w:eastAsia="Verdana" w:hAnsi="Verdana"/>
          <w:sz w:val="17"/>
          <w:szCs w:val="17"/>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color w:val="auto"/>
        </w:rPr>
        <w:t>SECURITIES EXCHANGE ACT OF 1934</w:t>
      </w:r>
    </w:p>
    <w:p>
      <w:pPr>
        <w:spacing w:after="0" w:line="200" w:lineRule="exact"/>
        <w:rPr>
          <w:sz w:val="20"/>
          <w:szCs w:val="20"/>
          <w:color w:val="auto"/>
        </w:rPr>
      </w:pPr>
    </w:p>
    <w:p>
      <w:pPr>
        <w:spacing w:after="0" w:line="258" w:lineRule="exact"/>
        <w:rPr>
          <w:sz w:val="20"/>
          <w:szCs w:val="20"/>
          <w:color w:val="auto"/>
        </w:rPr>
      </w:pPr>
    </w:p>
    <w:p>
      <w:pPr>
        <w:jc w:val="both"/>
        <w:spacing w:after="0" w:line="243" w:lineRule="auto"/>
        <w:rPr>
          <w:rFonts w:ascii="Verdana" w:cs="Verdana" w:eastAsia="Verdana" w:hAnsi="Verdana"/>
          <w:sz w:val="14"/>
          <w:szCs w:val="14"/>
          <w:i w:val="1"/>
          <w:iCs w:val="1"/>
          <w:color w:val="auto"/>
        </w:rPr>
      </w:pPr>
      <w:r>
        <w:rPr>
          <w:rFonts w:ascii="Verdana" w:cs="Verdana" w:eastAsia="Verdana" w:hAnsi="Verdana"/>
          <w:sz w:val="14"/>
          <w:szCs w:val="14"/>
          <w:i w:val="1"/>
          <w:iCs w:val="1"/>
          <w:color w:val="auto"/>
        </w:rPr>
        <w:t xml:space="preserve">The common stock of First Busey Corporation (the “Company,” which is also referred to herein as “we,” “our” or “us”) is registered pursuant to Section 12 of the Securities Exchange Act of 1934, as amended. The following description of the material terms of the Company’s common stock is only a summary. This summary does not purport to be a complete description of the terms and conditions of the Company’s common stock and is subject to and qualified in its entirety by reference to the Company’s </w:t>
      </w:r>
      <w:hyperlink r:id="rId155">
        <w:r>
          <w:rPr>
            <w:rFonts w:ascii="Verdana" w:cs="Verdana" w:eastAsia="Verdana" w:hAnsi="Verdana"/>
            <w:sz w:val="14"/>
            <w:szCs w:val="14"/>
            <w:i w:val="1"/>
            <w:iCs w:val="1"/>
            <w:u w:val="single" w:color="auto"/>
            <w:color w:val="0000FF"/>
          </w:rPr>
          <w:t>Amended and Restated Articles of Incorporation</w:t>
        </w:r>
      </w:hyperlink>
      <w:r>
        <w:rPr>
          <w:rFonts w:ascii="Verdana" w:cs="Verdana" w:eastAsia="Verdana" w:hAnsi="Verdana"/>
          <w:sz w:val="14"/>
          <w:szCs w:val="14"/>
          <w:i w:val="1"/>
          <w:iCs w:val="1"/>
          <w:color w:val="auto"/>
        </w:rPr>
        <w:t xml:space="preserve">, which we refer to as the “Articles of Incorporation” and the Company’s </w:t>
      </w:r>
      <w:hyperlink r:id="rId156">
        <w:r>
          <w:rPr>
            <w:rFonts w:ascii="Verdana" w:cs="Verdana" w:eastAsia="Verdana" w:hAnsi="Verdana"/>
            <w:sz w:val="14"/>
            <w:szCs w:val="14"/>
            <w:i w:val="1"/>
            <w:iCs w:val="1"/>
            <w:u w:val="single" w:color="auto"/>
            <w:color w:val="0000FF"/>
          </w:rPr>
          <w:t>Second Amended and Restated By-laws</w:t>
        </w:r>
      </w:hyperlink>
      <w:r>
        <w:rPr>
          <w:rFonts w:ascii="Verdana" w:cs="Verdana" w:eastAsia="Verdana" w:hAnsi="Verdana"/>
          <w:sz w:val="14"/>
          <w:szCs w:val="14"/>
          <w:i w:val="1"/>
          <w:iCs w:val="1"/>
          <w:color w:val="auto"/>
        </w:rPr>
        <w:t>, which we refer to as the “Bylaws,” as well as the Nevada General Corporation Law, which we refer to as the “NGCL,” each as may be amended from time to time, and any other documents referenced in the summary and from which the summary is derived.</w:t>
      </w:r>
    </w:p>
    <w:p>
      <w:pPr>
        <w:spacing w:after="0" w:line="133"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DESCRIPTION</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General</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Under our Articles of Incorporation, we have the authority to issue 200,000,000 shares of our common stock, par value $0.001 per share, and 1,000,000 shares of preferred stock, par value $0.001 per share. Our common stock is listed for trading on the NASDAQ Global Select Market under the symbol “BUSE.” Each share of our common stock has the same relative rights and is identical in all respects to every other share of our common stock. Our shares of common stock are neither redeemable nor convertible, and the holders thereof have no preemptive or subscription rights to purchase any of our securities.</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Voting Rights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Each outstanding share of our common stock is entitled to one vote on all matters submitted to a vote of stockholders. There is no cumulative voting in the election of directors.</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Liquidation Rights</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Upon our liquidation, dissolution, or winding up, the holders of our common stock are entitled to receive, pro rata, our assets which are legally available for distribution, after payment of all debts and other liabilities and subject to the prior rights of any holders of preferred stock then outstanding.</w:t>
      </w:r>
    </w:p>
    <w:p>
      <w:pPr>
        <w:sectPr>
          <w:pgSz w:w="11900" w:h="16838" w:orient="portrait"/>
          <w:cols w:equalWidth="0" w:num="1">
            <w:col w:w="11280"/>
          </w:cols>
          <w:pgMar w:left="300" w:top="135" w:right="319" w:bottom="1440" w:gutter="0" w:footer="0" w:header="0"/>
        </w:sectPr>
      </w:pPr>
    </w:p>
    <w:bookmarkStart w:id="103" w:name="page104"/>
    <w:bookmarkEnd w:id="103"/>
    <w:p>
      <w:pPr>
        <w:spacing w:after="0" w:line="1"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Dividends Payable on Shares of Common Stock</w:t>
      </w:r>
    </w:p>
    <w:p>
      <w:pPr>
        <w:spacing w:after="0" w:line="138" w:lineRule="exact"/>
        <w:rPr>
          <w:sz w:val="20"/>
          <w:szCs w:val="20"/>
          <w:color w:val="auto"/>
        </w:rPr>
      </w:pPr>
    </w:p>
    <w:p>
      <w:pPr>
        <w:jc w:val="both"/>
        <w:spacing w:after="0"/>
        <w:rPr>
          <w:sz w:val="20"/>
          <w:szCs w:val="20"/>
          <w:color w:val="auto"/>
        </w:rPr>
      </w:pPr>
      <w:r>
        <w:rPr>
          <w:rFonts w:ascii="Verdana" w:cs="Verdana" w:eastAsia="Verdana" w:hAnsi="Verdana"/>
          <w:sz w:val="14"/>
          <w:szCs w:val="14"/>
          <w:color w:val="auto"/>
        </w:rPr>
        <w:t>In general, the holders of outstanding shares of our common stock are entitled to receive dividends out of assets legally available therefor at such times and in such amounts as our board of directors may from time to time determine. The ability of our board of directors to declare and pay dividends on our common stock may be affected by both general corporate law considerations and policies of the Board of Governors of the Federal Reserve, which we refer to herein as the Federal Reserve, applicable to bank holding companies. As a Nevada corporation, we are subject to the limitations of Nevada law, which allows us to pay dividends unless, after such dividend, we would not be able to pay our debts as they become due in the usual course of business or our total assets would be less than the sum of our total liabilities plus any amount that would be needed if we were to be dissolved at the time of the dividend payment to satisfy the preferential rights of stockholders whose preferential rights are superior to those receiving the dividend. As a bank holding company, our ability to declare and pay dividends is subject to the guidelines of the Federal Reserve regarding capital adequacy and dividends. The Federal Reserve guidelines generally require us to review the effects of the cash payment of dividends on our common stock and other Tier 1 capital instruments (i.e., perpetual preferred stock and trust preferred securities) in light of our earnings, capital adequacy, and financial condition. As a general matter, the Federal Reserve indicates that the board of directors of a bank holding company should eliminate, defer, or significantly reduce the dividends if: (1) the company’s net income available to stockholders for the past four quarters, net of dividends previously paid during that period, is not sufficient to fully fund the dividends; (2) the prospective rate of earnings retention is inconsistent with the company’s capital needs and overall current and prospective financial condition; or (3)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132"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Most of our revenues available for the payment of dividends derive from amounts paid to us by Busey Bank. There are various statutory limitations that limit the ability of Busey Bank to pay dividends to us. Busey Bank is a state-charted bank and is subject to the laws and regulations of the Illinois Department of Financial and Professional Regulation and to the regulations of the Federal Deposit Insurance Corporation. If a bank’s primary banking regulator determines that the bank is engaged or is about to engage in an unsafe or unsound banking practice, the regulator may require, after notice and hearing, that the bank cease and desist from such practice. Depending on the financial condition of the bank, an unsafe or unsound practice could include the payment of dividends. In particular, the federal banking agencies have indicated that paying dividends that deplete a bank’s capital base to an inadequate level would be an unsafe and unsound banking practice.</w:t>
      </w:r>
    </w:p>
    <w:p>
      <w:pPr>
        <w:spacing w:after="0" w:line="136"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Under the Illinois Banking Act, Busey Bank generally may not pay dividends in excess of its net profits. Further, the payment of dividends by any financial institution is also affected by the requirement to maintain adequate capital pursuant to applicable capital adequacy guidelines and regulations, and a financial institution generally is prohibited from paying any dividends if, following payment thereof, the institution would be undercapitalized. Even notwithstanding the availability of funds for dividends, the Federal Deposit Insurance Corporation may prohibit the payment of any dividends by an insured bank, such as Busey Bank, if the Federal Deposit Insurance Corporation determines such payment would constitute an unsafe or unsound practice. Furthermore, under applicable regulatory requirements, an Illinois state-chartered bank such as Busey Bank may not pay dividends in excess of its net profits.</w:t>
      </w:r>
    </w:p>
    <w:p>
      <w:pPr>
        <w:sectPr>
          <w:pgSz w:w="11900" w:h="16838" w:orient="portrait"/>
          <w:cols w:equalWidth="0" w:num="1">
            <w:col w:w="11280"/>
          </w:cols>
          <w:pgMar w:left="300" w:top="1440" w:right="319" w:bottom="1440" w:gutter="0" w:footer="0" w:header="0"/>
        </w:sectPr>
      </w:pPr>
    </w:p>
    <w:bookmarkStart w:id="104" w:name="page105"/>
    <w:bookmarkEnd w:id="104"/>
    <w:p>
      <w:pPr>
        <w:spacing w:after="0" w:line="1"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Preferred Stock</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We may issue up to 1,000,000 shares of preferred stock, $0.001 par value per share, from time to time in one or more series. Our board of directors, without further approval of the stockholders, has the authority to fix the dividend rights and terms, conversion rights, voting rights, redemption rights and terms, liquidation preferences, sinking funds, and any other rights, preferences, privileges, and restrictions applicable to each series of preferred stock. The issuance of preferred stock, while providing flexibility in connection with possible acquisitions and other corporate purposes, could, among other things, adversely affect the voting power of the holders of our common stock.</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ANTI-TAKEOVER PROVISIONS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General</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Our Articles of Incorporation and our Bylaws may have the effect of discouraging, delaying, or preventing a change in control or an unsolicited acquisition proposal that a stockholder might consider favorable, including a proposal that might result in the payment of a premium over the market price for the shares held by stockholders. These provisions are summarized in the following paragraphs.</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Authorized Shares of Capital Stock</w:t>
      </w:r>
    </w:p>
    <w:p>
      <w:pPr>
        <w:spacing w:after="0" w:line="14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Authorized but unissued shares of our common stock and preferred stock under our Articles of Incorporation could (within the limits imposed by applicable law and the rules of The NASDAQ Stock Market LLC) be issued in one or more transactions that could make a change of control of us more difficult, and therefore more unlikely. The additional authorized shares could be used to discourage persons from attempting to gain control of us by diluting the voting power of shares then outstanding or increasing the voting power of persons who would support the board of directors in a potential takeover situation, including by preventing or delaying a proposed business combination that is opposed by the board of directors although perceived to be desirable by some stockholders.</w:t>
      </w:r>
    </w:p>
    <w:p>
      <w:pPr>
        <w:spacing w:after="0" w:line="29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Limitations on Right to Call Special Meetings; Stockholder Proposal Notice Requirements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Under our Bylaws, a special meeting of our stockholders may be called only by (1) the Chair of our board of directors, (2) our Chief Executive Officer, (3) our President, (4) a majority of our board of directors, or (5) stockholders owning at least fifty percent (50%) of the entire capital stock of the Company issued and outstanding and entitled to vote. Additionally, our Bylaws require that stockholder proposals meet certain advanced notice and minimum informational requirements. These provisions could have the effect of delaying until the next annual stockholders meeting stockholder actions which are favored by the holders of a majority of our outstanding voting securities.</w:t>
      </w:r>
    </w:p>
    <w:p>
      <w:pPr>
        <w:spacing w:after="0" w:line="132"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State Anti-Takeover Laws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Although under our Articles of Incorporation we have opted not to be governed by Nevada’s anti-takeover law known as the “Combination with Interested Stockholders Statute,” we may become subject to this provision in the future. In addition, the NGCL contains a “Control Share Acquisition Statute,” which does not currently apply to us.</w:t>
      </w:r>
    </w:p>
    <w:p>
      <w:pPr>
        <w:sectPr>
          <w:pgSz w:w="11900" w:h="16838" w:orient="portrait"/>
          <w:cols w:equalWidth="0" w:num="1">
            <w:col w:w="11280"/>
          </w:cols>
          <w:pgMar w:left="300" w:top="1440" w:right="319" w:bottom="1440" w:gutter="0" w:footer="0" w:header="0"/>
        </w:sectPr>
      </w:pPr>
    </w:p>
    <w:bookmarkStart w:id="105" w:name="page106"/>
    <w:bookmarkEnd w:id="105"/>
    <w:p>
      <w:pPr>
        <w:spacing w:after="0" w:line="1"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The Combination with Interested Stockholders Statute prevents “interested stockholders” and an applicable Nevada corporation from entering into a “combination” unless certain conditions are met. A combination means, among other things, any merger or consolidation with an “interested stockholder,” or any sale, lease, exchange, mortgage, pledge, transfer, or other disposition, in one transaction or a series of transactions, with an “interested stockholder” having: (1) an aggregate market value equal to more than 5% of the aggregate market value of the assets of the corporation; (2) an aggregate market value equal to more than 5% of the aggregate market value of all outstanding voting shares of the corporation; or (3) representing more than 10% of the earning power or net income of the corporation. An “interested stockholder” means the beneficial owner of 10% or more of the voting shares of a corporation, or an affiliate or associate of a corporation who at any time within two years immediately prior to the date in question was the beneficial owner of 10% or more of the voting shares of the corporation. A corporation may not engage in a “combination” within two years after the interested stockholder acquired its shares unless the combination or the purchase of shares made by the interested stockholder is approved by the board of directors before the interested stockholder acquired such shares or the combination is approved by the board of directors and, at or after that time, the combination is approved at an annual or special meeting of the stockholders of the corporation representing at least 60% of the outstanding voting power held by disinterested stockholders.</w:t>
      </w:r>
    </w:p>
    <w:p>
      <w:pPr>
        <w:spacing w:after="0" w:line="296" w:lineRule="exact"/>
        <w:rPr>
          <w:sz w:val="20"/>
          <w:szCs w:val="20"/>
          <w:color w:val="auto"/>
        </w:rPr>
      </w:pPr>
    </w:p>
    <w:p>
      <w:pPr>
        <w:jc w:val="both"/>
        <w:spacing w:after="0" w:line="239" w:lineRule="auto"/>
        <w:rPr>
          <w:sz w:val="20"/>
          <w:szCs w:val="20"/>
          <w:color w:val="auto"/>
        </w:rPr>
      </w:pPr>
      <w:r>
        <w:rPr>
          <w:rFonts w:ascii="Verdana" w:cs="Verdana" w:eastAsia="Verdana" w:hAnsi="Verdana"/>
          <w:sz w:val="14"/>
          <w:szCs w:val="14"/>
          <w:color w:val="auto"/>
        </w:rPr>
        <w:t>If such approval is not obtained, then after the expiration of the two-year period, the business combination may be consummated: (1) if the combination or the transaction in which the person became an interested stockholder was approved by the board of directors before the person became an interested stockholder; (2) if the combination is approved at an annual or special meeting of the stockholders of the corporation by a majority of the voting power held by disinterested stockholders; or (3) if the consideration to be paid by the interested stockholder for disinterested shares of common or preferred stock, as applicable, is at least equal to the highest of: (a) the highest price per share of such stock paid by the interested stockholder within the two years immediately preceding the date of the announcement of the combination or in the transaction in which the person became an interested stockholder, whichever is higher, plus interest from that date through the date of consummation of the combination and less any dividends paid during the same period;</w:t>
      </w:r>
    </w:p>
    <w:p>
      <w:pPr>
        <w:spacing w:after="0" w:line="2" w:lineRule="exact"/>
        <w:rPr>
          <w:sz w:val="20"/>
          <w:szCs w:val="20"/>
          <w:color w:val="auto"/>
        </w:rPr>
      </w:pPr>
    </w:p>
    <w:p>
      <w:pPr>
        <w:jc w:val="both"/>
        <w:ind w:firstLine="5"/>
        <w:spacing w:after="0" w:line="246" w:lineRule="auto"/>
        <w:tabs>
          <w:tab w:leader="none" w:pos="267" w:val="left"/>
        </w:tabs>
        <w:numPr>
          <w:ilvl w:val="0"/>
          <w:numId w:val="41"/>
        </w:numPr>
        <w:rPr>
          <w:rFonts w:ascii="Verdana" w:cs="Verdana" w:eastAsia="Verdana" w:hAnsi="Verdana"/>
          <w:sz w:val="14"/>
          <w:szCs w:val="14"/>
          <w:color w:val="auto"/>
        </w:rPr>
      </w:pPr>
      <w:r>
        <w:rPr>
          <w:rFonts w:ascii="Verdana" w:cs="Verdana" w:eastAsia="Verdana" w:hAnsi="Verdana"/>
          <w:sz w:val="14"/>
          <w:szCs w:val="14"/>
          <w:color w:val="auto"/>
        </w:rPr>
        <w:t>the market value per share of such stock on the date of the announcement of the combination or the date the interested stockholder acquired the shares, whichever is higher, plus interest from that date through the date of consummation of the combination and less any dividends paid during the same period; or (c) the amount specified in the corporation’s articles of incorporation, including in any certificate of designation for the class or series of shares are entitled upon the consummation of a transaction of a type encompassing the combination.</w:t>
      </w:r>
    </w:p>
    <w:p>
      <w:pPr>
        <w:sectPr>
          <w:pgSz w:w="11900" w:h="16838" w:orient="portrait"/>
          <w:cols w:equalWidth="0" w:num="1">
            <w:col w:w="11280"/>
          </w:cols>
          <w:pgMar w:left="300" w:top="1440" w:right="319" w:bottom="1440" w:gutter="0" w:footer="0" w:header="0"/>
        </w:sectPr>
      </w:pPr>
    </w:p>
    <w:bookmarkStart w:id="106" w:name="page107"/>
    <w:bookmarkEnd w:id="106"/>
    <w:p>
      <w:pPr>
        <w:spacing w:after="0" w:line="1"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The Control Share Acquisition Statute prohibits an acquiror, under certain circumstances, from voting shares of a target corporation’s stock after crossing certain threshold ownership percentages, unless the acquiror obtains the approval of the target corporation’s stockholders. The Control Share Acquisition Statute specifies three thresholds: (1) one-fifth or more but less than one-third; (2) one-third or more but less than a majority; and (3) a majority or more, of the voting power of the corporation in the election of directors. Once an acquiror crosses one of the above thresholds, those shares acquired in such offer or acquisition and those shares acquired within the preceding ninety days become “Control Shares” and such Control Shares are deprived of the right to vote until disinterested stockholders restore the right. The Control Shares Acquisition Statute also provides that in the event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The board of directors is to notify the stockholders after such an event has occurred that they have the right to receive the fair value of their shares in accordance with statutory procedures established generally for dissenters’ rights. The Control Share Acquisition Statute currently does not apply to us because we do not have 100 or more stockholders of record who are residents of the State of Nevada.</w:t>
      </w:r>
    </w:p>
    <w:p>
      <w:pPr>
        <w:sectPr>
          <w:pgSz w:w="11900" w:h="16838" w:orient="portrait"/>
          <w:cols w:equalWidth="0" w:num="1">
            <w:col w:w="11280"/>
          </w:cols>
          <w:pgMar w:left="300" w:top="1440" w:right="3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AMENDMENT TO EMPLOYMENT AGREEMENT</w:t>
      </w:r>
    </w:p>
    <w:p>
      <w:pPr>
        <w:spacing w:after="0" w:line="200" w:lineRule="exact"/>
        <w:rPr>
          <w:sz w:val="20"/>
          <w:szCs w:val="20"/>
          <w:color w:val="auto"/>
        </w:rPr>
      </w:pPr>
    </w:p>
    <w:p>
      <w:pPr>
        <w:spacing w:after="0" w:line="284"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THIS AMENDMENT TO EMPLOYMENT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is entered into as of March 4, 2025, by and among First Busey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w:t>
      </w:r>
      <w:r>
        <w:rPr>
          <w:rFonts w:ascii="Times New Roman" w:cs="Times New Roman" w:eastAsia="Times New Roman" w:hAnsi="Times New Roman"/>
          <w:sz w:val="17"/>
          <w:szCs w:val="17"/>
          <w:b w:val="1"/>
          <w:bCs w:val="1"/>
          <w:color w:val="auto"/>
        </w:rPr>
        <w:t>First Busey</w:t>
      </w:r>
      <w:r>
        <w:rPr>
          <w:rFonts w:ascii="Times New Roman" w:cs="Times New Roman" w:eastAsia="Times New Roman" w:hAnsi="Times New Roman"/>
          <w:sz w:val="17"/>
          <w:szCs w:val="17"/>
          <w:color w:val="auto"/>
        </w:rPr>
        <w:t>”), Busey Bank (the “</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and together with First Busey, “</w:t>
      </w:r>
      <w:r>
        <w:rPr>
          <w:rFonts w:ascii="Times New Roman" w:cs="Times New Roman" w:eastAsia="Times New Roman" w:hAnsi="Times New Roman"/>
          <w:sz w:val="17"/>
          <w:szCs w:val="17"/>
          <w:b w:val="1"/>
          <w:bCs w:val="1"/>
          <w:color w:val="auto"/>
        </w:rPr>
        <w:t>Employer</w:t>
      </w:r>
      <w:r>
        <w:rPr>
          <w:rFonts w:ascii="Times New Roman" w:cs="Times New Roman" w:eastAsia="Times New Roman" w:hAnsi="Times New Roman"/>
          <w:sz w:val="17"/>
          <w:szCs w:val="17"/>
          <w:color w:val="auto"/>
        </w:rPr>
        <w:t>”) and Amy L. Randolph (“</w:t>
      </w:r>
      <w:r>
        <w:rPr>
          <w:rFonts w:ascii="Times New Roman" w:cs="Times New Roman" w:eastAsia="Times New Roman" w:hAnsi="Times New Roman"/>
          <w:sz w:val="17"/>
          <w:szCs w:val="17"/>
          <w:b w:val="1"/>
          <w:bCs w:val="1"/>
          <w:color w:val="auto"/>
        </w:rPr>
        <w:t>Executive</w:t>
      </w:r>
      <w:r>
        <w:rPr>
          <w:rFonts w:ascii="Times New Roman" w:cs="Times New Roman" w:eastAsia="Times New Roman" w:hAnsi="Times New Roman"/>
          <w:sz w:val="17"/>
          <w:szCs w:val="17"/>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44" w:lineRule="exact"/>
        <w:rPr>
          <w:sz w:val="20"/>
          <w:szCs w:val="20"/>
          <w:color w:val="auto"/>
        </w:rPr>
      </w:pPr>
    </w:p>
    <w:p>
      <w:pPr>
        <w:ind w:firstLine="514"/>
        <w:spacing w:after="0" w:line="281" w:lineRule="auto"/>
        <w:tabs>
          <w:tab w:leader="none" w:pos="855"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Employer and Executive entered into an Employment Agreement effective as of December 5, 2019 (the “</w:t>
      </w:r>
      <w:r>
        <w:rPr>
          <w:rFonts w:ascii="Times New Roman" w:cs="Times New Roman" w:eastAsia="Times New Roman" w:hAnsi="Times New Roman"/>
          <w:sz w:val="17"/>
          <w:szCs w:val="17"/>
          <w:b w:val="1"/>
          <w:bCs w:val="1"/>
          <w:color w:val="auto"/>
        </w:rPr>
        <w:t>Employment Agreement</w:t>
      </w:r>
      <w:r>
        <w:rPr>
          <w:rFonts w:ascii="Times New Roman" w:cs="Times New Roman" w:eastAsia="Times New Roman" w:hAnsi="Times New Roman"/>
          <w:sz w:val="17"/>
          <w:szCs w:val="17"/>
          <w:color w:val="auto"/>
        </w:rPr>
        <w:t>”), pursuant to which Executive serves as Executive Vice President, Chief Operating Officer of First Busey and the Bank.</w:t>
      </w:r>
    </w:p>
    <w:p>
      <w:pPr>
        <w:spacing w:after="0" w:line="97" w:lineRule="exact"/>
        <w:rPr>
          <w:rFonts w:ascii="Times New Roman" w:cs="Times New Roman" w:eastAsia="Times New Roman" w:hAnsi="Times New Roman"/>
          <w:sz w:val="17"/>
          <w:szCs w:val="17"/>
          <w:b w:val="1"/>
          <w:bCs w:val="1"/>
          <w:color w:val="auto"/>
        </w:rPr>
      </w:pPr>
    </w:p>
    <w:p>
      <w:pPr>
        <w:ind w:left="880" w:hanging="366"/>
        <w:spacing w:after="0"/>
        <w:tabs>
          <w:tab w:leader="none" w:pos="88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Employer and Executive wish to amend certain terms and provisions of the Employment Agreement to reflect Executive’s current salary, position and</w:t>
      </w:r>
    </w:p>
    <w:p>
      <w:pPr>
        <w:spacing w:after="0" w:line="23"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duties.</w:t>
      </w:r>
    </w:p>
    <w:p>
      <w:pPr>
        <w:spacing w:after="0" w:line="122" w:lineRule="exact"/>
        <w:rPr>
          <w:sz w:val="20"/>
          <w:szCs w:val="20"/>
          <w:color w:val="auto"/>
        </w:rPr>
      </w:pPr>
    </w:p>
    <w:p>
      <w:pPr>
        <w:ind w:firstLine="509"/>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foregoing and the respective covenants and agreements of the parties contained herein, the parties hereby agree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follows:</w:t>
      </w:r>
    </w:p>
    <w:p>
      <w:pPr>
        <w:spacing w:after="0" w:line="77" w:lineRule="exact"/>
        <w:rPr>
          <w:sz w:val="20"/>
          <w:szCs w:val="20"/>
          <w:color w:val="auto"/>
        </w:rPr>
      </w:pPr>
    </w:p>
    <w:p>
      <w:pPr>
        <w:ind w:left="880" w:hanging="366"/>
        <w:spacing w:after="0"/>
        <w:tabs>
          <w:tab w:leader="none" w:pos="8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Section 3(a) of the Employment Agreement, Executive’s Base Salary, as determined by the Board iin the 2025 calendar year, is</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$525,000.</w:t>
      </w:r>
    </w:p>
    <w:p>
      <w:pPr>
        <w:spacing w:after="0" w:line="136" w:lineRule="exact"/>
        <w:rPr>
          <w:rFonts w:ascii="Times New Roman" w:cs="Times New Roman" w:eastAsia="Times New Roman" w:hAnsi="Times New Roman"/>
          <w:sz w:val="17"/>
          <w:szCs w:val="17"/>
          <w:color w:val="auto"/>
        </w:rPr>
      </w:pPr>
    </w:p>
    <w:p>
      <w:pPr>
        <w:ind w:left="820" w:hanging="306"/>
        <w:spacing w:after="0"/>
        <w:tabs>
          <w:tab w:leader="none" w:pos="8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2(a) of the Employment Agreement is hereby amended by amending and restating the first sentence thereof in its entirety as follows:</w:t>
      </w:r>
    </w:p>
    <w:p>
      <w:pPr>
        <w:spacing w:after="0" w:line="144" w:lineRule="exact"/>
        <w:rPr>
          <w:sz w:val="20"/>
          <w:szCs w:val="20"/>
          <w:color w:val="auto"/>
        </w:rPr>
      </w:pPr>
    </w:p>
    <w:p>
      <w:pPr>
        <w:jc w:val="both"/>
        <w:ind w:left="520" w:firstLine="509"/>
        <w:spacing w:after="0" w:line="261" w:lineRule="auto"/>
        <w:rPr>
          <w:sz w:val="20"/>
          <w:szCs w:val="20"/>
          <w:color w:val="auto"/>
        </w:rPr>
      </w:pPr>
      <w:r>
        <w:rPr>
          <w:rFonts w:ascii="Times New Roman" w:cs="Times New Roman" w:eastAsia="Times New Roman" w:hAnsi="Times New Roman"/>
          <w:sz w:val="17"/>
          <w:szCs w:val="17"/>
          <w:color w:val="auto"/>
        </w:rPr>
        <w:t>“Subject to the terms of this Agreement, Executive shall devote Executive’s full business time, energies and talent to serving as the Executive Vice President, Chief Operating Officer of First Busey and the Bank, with responsibility for supervising human resources and associate experience, operations and customer service, sales, marketing and branding, customer and corporate communications, strategic project management and planning, consumer and digital banking, and corporate administration, at the direction of hte Chief Executive Officer of First Busey (the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ind w:left="820" w:hanging="306"/>
        <w:spacing w:after="0"/>
        <w:tabs>
          <w:tab w:leader="none" w:pos="8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specifically amended by this Amendment, the Employment Agreement shall remain in full force and effect.</w:t>
      </w:r>
    </w:p>
    <w:p>
      <w:pPr>
        <w:spacing w:after="0" w:line="150" w:lineRule="exact"/>
        <w:rPr>
          <w:rFonts w:ascii="Times New Roman" w:cs="Times New Roman" w:eastAsia="Times New Roman" w:hAnsi="Times New Roman"/>
          <w:sz w:val="17"/>
          <w:szCs w:val="17"/>
          <w:color w:val="auto"/>
        </w:rPr>
      </w:pPr>
    </w:p>
    <w:p>
      <w:pPr>
        <w:ind w:left="4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25" w:right="319" w:bottom="1440" w:gutter="0" w:footer="0" w:header="0"/>
        </w:sectPr>
      </w:pPr>
    </w:p>
    <w:bookmarkStart w:id="108" w:name="page109"/>
    <w:bookmarkEnd w:id="108"/>
    <w:p>
      <w:pPr>
        <w:ind w:left="50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Amendment as of the date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FIRST BUSEY CORPORATION</w:t>
            </w:r>
          </w:p>
        </w:tc>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EXECUTIVE</w:t>
            </w:r>
          </w:p>
        </w:tc>
      </w:tr>
      <w:tr>
        <w:trPr>
          <w:trHeight w:val="42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VAN A. DUKEMAN</w:t>
            </w:r>
          </w:p>
        </w:tc>
        <w:tc>
          <w:tcPr>
            <w:tcW w:w="46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AMY L. RANDOLPH</w:t>
            </w:r>
          </w:p>
        </w:tc>
      </w:tr>
      <w:tr>
        <w:trPr>
          <w:trHeight w:val="194"/>
        </w:trPr>
        <w:tc>
          <w:tcPr>
            <w:tcW w:w="680" w:type="dxa"/>
            <w:vAlign w:val="bottom"/>
          </w:tcPr>
          <w:p>
            <w:pPr>
              <w:spacing w:after="0"/>
              <w:rPr>
                <w:sz w:val="16"/>
                <w:szCs w:val="16"/>
                <w:color w:val="auto"/>
              </w:rPr>
            </w:pPr>
          </w:p>
        </w:tc>
        <w:tc>
          <w:tcPr>
            <w:tcW w:w="50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Van A. Dukeman</w:t>
            </w:r>
          </w:p>
        </w:tc>
        <w:tc>
          <w:tcPr>
            <w:tcW w:w="460" w:type="dxa"/>
            <w:vAlign w:val="bottom"/>
          </w:tcPr>
          <w:p>
            <w:pPr>
              <w:spacing w:after="0"/>
              <w:rPr>
                <w:sz w:val="16"/>
                <w:szCs w:val="16"/>
                <w:color w:val="auto"/>
              </w:rPr>
            </w:pPr>
          </w:p>
        </w:tc>
        <w:tc>
          <w:tcPr>
            <w:tcW w:w="5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Amy L. Randolph</w:t>
            </w:r>
          </w:p>
        </w:tc>
      </w:tr>
      <w:tr>
        <w:trPr>
          <w:trHeight w:val="219"/>
        </w:trPr>
        <w:tc>
          <w:tcPr>
            <w:tcW w:w="6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tc>
        <w:tc>
          <w:tcPr>
            <w:tcW w:w="46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24"/>
        </w:trPr>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BUSEY BANK</w:t>
            </w:r>
          </w:p>
        </w:tc>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42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VAN A. DUKEMAN</w:t>
            </w:r>
          </w:p>
        </w:tc>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194"/>
        </w:trPr>
        <w:tc>
          <w:tcPr>
            <w:tcW w:w="680" w:type="dxa"/>
            <w:vAlign w:val="bottom"/>
          </w:tcPr>
          <w:p>
            <w:pPr>
              <w:spacing w:after="0"/>
              <w:rPr>
                <w:sz w:val="16"/>
                <w:szCs w:val="16"/>
                <w:color w:val="auto"/>
              </w:rPr>
            </w:pPr>
          </w:p>
        </w:tc>
        <w:tc>
          <w:tcPr>
            <w:tcW w:w="50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Van A. Dukeman</w:t>
            </w:r>
          </w:p>
        </w:tc>
        <w:tc>
          <w:tcPr>
            <w:tcW w:w="46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9"/>
        </w:trPr>
        <w:tc>
          <w:tcPr>
            <w:tcW w:w="6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tc>
        <w:tc>
          <w:tcPr>
            <w:tcW w:w="460" w:type="dxa"/>
            <w:vAlign w:val="bottom"/>
          </w:tcPr>
          <w:p>
            <w:pPr>
              <w:spacing w:after="0"/>
              <w:rPr>
                <w:sz w:val="19"/>
                <w:szCs w:val="19"/>
                <w:color w:val="auto"/>
              </w:rPr>
            </w:pPr>
          </w:p>
        </w:tc>
        <w:tc>
          <w:tcPr>
            <w:tcW w:w="50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Signature Page to Randolph Employment Agreement Amendment</w:t>
      </w:r>
    </w:p>
    <w:p>
      <w:pPr>
        <w:sectPr>
          <w:pgSz w:w="11900" w:h="16838" w:orient="portrait"/>
          <w:cols w:equalWidth="0" w:num="1">
            <w:col w:w="11260"/>
          </w:cols>
          <w:pgMar w:left="320" w:top="1430" w:right="319" w:bottom="1440"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Verdana" w:cs="Verdana" w:eastAsia="Verdana" w:hAnsi="Verdana"/>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560" w:firstLine="3557"/>
        <w:spacing w:after="0" w:line="404" w:lineRule="auto"/>
        <w:rPr>
          <w:sz w:val="20"/>
          <w:szCs w:val="20"/>
          <w:color w:val="auto"/>
        </w:rPr>
      </w:pPr>
      <w:r>
        <w:rPr>
          <w:rFonts w:ascii="Verdana" w:cs="Verdana" w:eastAsia="Verdana" w:hAnsi="Verdana"/>
          <w:sz w:val="14"/>
          <w:szCs w:val="14"/>
          <w:b w:val="1"/>
          <w:bCs w:val="1"/>
          <w:color w:val="auto"/>
        </w:rPr>
        <w:t xml:space="preserve">CERTIFICATION OF PRINCIPAL EXECUTIVE OFFICER </w:t>
      </w:r>
      <w:r>
        <w:rPr>
          <w:rFonts w:ascii="Verdana" w:cs="Verdana" w:eastAsia="Verdana" w:hAnsi="Verdana"/>
          <w:sz w:val="14"/>
          <w:szCs w:val="14"/>
          <w:color w:val="auto"/>
        </w:rPr>
        <w:t>I, Van A. Dukeman, Chairman and Chief Executive Officer of First Busey Corporation, certify that:</w:t>
      </w:r>
    </w:p>
    <w:p>
      <w:pPr>
        <w:ind w:left="260" w:hanging="255"/>
        <w:spacing w:after="0"/>
        <w:tabs>
          <w:tab w:leader="none" w:pos="260" w:val="left"/>
        </w:tabs>
        <w:numPr>
          <w:ilvl w:val="0"/>
          <w:numId w:val="45"/>
        </w:numPr>
        <w:rPr>
          <w:rFonts w:ascii="Verdana" w:cs="Verdana" w:eastAsia="Verdana" w:hAnsi="Verdana"/>
          <w:sz w:val="14"/>
          <w:szCs w:val="14"/>
          <w:color w:val="auto"/>
        </w:rPr>
      </w:pPr>
      <w:r>
        <w:rPr>
          <w:rFonts w:ascii="Verdana" w:cs="Verdana" w:eastAsia="Verdana" w:hAnsi="Verdana"/>
          <w:sz w:val="14"/>
          <w:szCs w:val="14"/>
          <w:color w:val="auto"/>
        </w:rPr>
        <w:t>I have reviewed this Quarterly Report on Form 10-Q of First Busey Corporation;</w:t>
      </w:r>
    </w:p>
    <w:p>
      <w:pPr>
        <w:spacing w:after="0" w:line="116" w:lineRule="exact"/>
        <w:rPr>
          <w:rFonts w:ascii="Verdana" w:cs="Verdana" w:eastAsia="Verdana" w:hAnsi="Verdana"/>
          <w:sz w:val="14"/>
          <w:szCs w:val="14"/>
          <w:color w:val="auto"/>
        </w:rPr>
      </w:pPr>
    </w:p>
    <w:p>
      <w:pPr>
        <w:jc w:val="both"/>
        <w:ind w:left="260" w:hanging="255"/>
        <w:spacing w:after="0" w:line="216" w:lineRule="auto"/>
        <w:tabs>
          <w:tab w:leader="none" w:pos="255" w:val="left"/>
        </w:tabs>
        <w:numPr>
          <w:ilvl w:val="0"/>
          <w:numId w:val="45"/>
        </w:numPr>
        <w:rPr>
          <w:rFonts w:ascii="Verdana" w:cs="Verdana" w:eastAsia="Verdana" w:hAnsi="Verdana"/>
          <w:sz w:val="14"/>
          <w:szCs w:val="14"/>
          <w:color w:val="auto"/>
        </w:rPr>
      </w:pPr>
      <w:r>
        <w:rPr>
          <w:rFonts w:ascii="Verdana" w:cs="Verdana" w:eastAsia="Verdana" w:hAnsi="Verdana"/>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2" w:lineRule="exact"/>
        <w:rPr>
          <w:rFonts w:ascii="Verdana" w:cs="Verdana" w:eastAsia="Verdana" w:hAnsi="Verdana"/>
          <w:sz w:val="14"/>
          <w:szCs w:val="14"/>
          <w:color w:val="auto"/>
        </w:rPr>
      </w:pPr>
    </w:p>
    <w:p>
      <w:pPr>
        <w:ind w:left="260" w:hanging="255"/>
        <w:spacing w:after="0" w:line="227" w:lineRule="auto"/>
        <w:tabs>
          <w:tab w:leader="none" w:pos="255" w:val="left"/>
        </w:tabs>
        <w:numPr>
          <w:ilvl w:val="0"/>
          <w:numId w:val="45"/>
        </w:numPr>
        <w:rPr>
          <w:rFonts w:ascii="Verdana" w:cs="Verdana" w:eastAsia="Verdana" w:hAnsi="Verdana"/>
          <w:sz w:val="14"/>
          <w:szCs w:val="14"/>
          <w:color w:val="auto"/>
        </w:rPr>
      </w:pPr>
      <w:r>
        <w:rPr>
          <w:rFonts w:ascii="Verdana" w:cs="Verdana" w:eastAsia="Verdana" w:hAnsi="Verdana"/>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2" w:lineRule="exact"/>
        <w:rPr>
          <w:rFonts w:ascii="Verdana" w:cs="Verdana" w:eastAsia="Verdana" w:hAnsi="Verdana"/>
          <w:sz w:val="14"/>
          <w:szCs w:val="14"/>
          <w:color w:val="auto"/>
        </w:rPr>
      </w:pPr>
    </w:p>
    <w:p>
      <w:pPr>
        <w:jc w:val="both"/>
        <w:ind w:left="260" w:hanging="255"/>
        <w:spacing w:after="0" w:line="221" w:lineRule="auto"/>
        <w:tabs>
          <w:tab w:leader="none" w:pos="255" w:val="left"/>
        </w:tabs>
        <w:numPr>
          <w:ilvl w:val="0"/>
          <w:numId w:val="45"/>
        </w:numPr>
        <w:rPr>
          <w:rFonts w:ascii="Verdana" w:cs="Verdana" w:eastAsia="Verdana" w:hAnsi="Verdana"/>
          <w:sz w:val="14"/>
          <w:szCs w:val="14"/>
          <w:color w:val="auto"/>
        </w:rPr>
      </w:pPr>
      <w:r>
        <w:rPr>
          <w:rFonts w:ascii="Verdana" w:cs="Verdana" w:eastAsia="Verdana" w:hAnsi="Verdana"/>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Verdana" w:cs="Verdana" w:eastAsia="Verdana" w:hAnsi="Verdana"/>
          <w:sz w:val="14"/>
          <w:szCs w:val="14"/>
          <w:color w:val="auto"/>
        </w:rPr>
      </w:pPr>
    </w:p>
    <w:p>
      <w:pPr>
        <w:jc w:val="both"/>
        <w:ind w:left="520" w:hanging="260"/>
        <w:spacing w:after="0" w:line="221" w:lineRule="auto"/>
        <w:tabs>
          <w:tab w:leader="none" w:pos="510" w:val="left"/>
        </w:tabs>
        <w:numPr>
          <w:ilvl w:val="1"/>
          <w:numId w:val="45"/>
        </w:numPr>
        <w:rPr>
          <w:rFonts w:ascii="Verdana" w:cs="Verdana" w:eastAsia="Verdana" w:hAnsi="Verdana"/>
          <w:sz w:val="14"/>
          <w:szCs w:val="14"/>
          <w:color w:val="auto"/>
        </w:rPr>
      </w:pPr>
      <w:r>
        <w:rPr>
          <w:rFonts w:ascii="Verdana" w:cs="Verdana" w:eastAsia="Verdana" w:hAnsi="Verdana"/>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2" w:lineRule="exact"/>
        <w:rPr>
          <w:rFonts w:ascii="Verdana" w:cs="Verdana" w:eastAsia="Verdana" w:hAnsi="Verdana"/>
          <w:sz w:val="14"/>
          <w:szCs w:val="14"/>
          <w:color w:val="auto"/>
        </w:rPr>
      </w:pPr>
    </w:p>
    <w:p>
      <w:pPr>
        <w:jc w:val="both"/>
        <w:ind w:left="520" w:hanging="260"/>
        <w:spacing w:after="0" w:line="216" w:lineRule="auto"/>
        <w:tabs>
          <w:tab w:leader="none" w:pos="513" w:val="left"/>
        </w:tabs>
        <w:numPr>
          <w:ilvl w:val="1"/>
          <w:numId w:val="45"/>
        </w:numPr>
        <w:rPr>
          <w:rFonts w:ascii="Verdana" w:cs="Verdana" w:eastAsia="Verdana" w:hAnsi="Verdana"/>
          <w:sz w:val="14"/>
          <w:szCs w:val="14"/>
          <w:color w:val="auto"/>
        </w:rPr>
      </w:pPr>
      <w:r>
        <w:rPr>
          <w:rFonts w:ascii="Verdana" w:cs="Verdana" w:eastAsia="Verdana" w:hAnsi="Verdana"/>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Verdana" w:cs="Verdana" w:eastAsia="Verdana" w:hAnsi="Verdana"/>
          <w:sz w:val="14"/>
          <w:szCs w:val="14"/>
          <w:color w:val="auto"/>
        </w:rPr>
      </w:pPr>
    </w:p>
    <w:p>
      <w:pPr>
        <w:ind w:left="520" w:hanging="260"/>
        <w:spacing w:after="0" w:line="227" w:lineRule="auto"/>
        <w:tabs>
          <w:tab w:leader="none" w:pos="520" w:val="left"/>
        </w:tabs>
        <w:numPr>
          <w:ilvl w:val="1"/>
          <w:numId w:val="45"/>
        </w:numPr>
        <w:rPr>
          <w:rFonts w:ascii="Verdana" w:cs="Verdana" w:eastAsia="Verdana" w:hAnsi="Verdana"/>
          <w:sz w:val="14"/>
          <w:szCs w:val="14"/>
          <w:color w:val="auto"/>
        </w:rPr>
      </w:pPr>
      <w:r>
        <w:rPr>
          <w:rFonts w:ascii="Verdana" w:cs="Verdana" w:eastAsia="Verdana" w:hAnsi="Verdana"/>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02" w:lineRule="exact"/>
        <w:rPr>
          <w:rFonts w:ascii="Verdana" w:cs="Verdana" w:eastAsia="Verdana" w:hAnsi="Verdana"/>
          <w:sz w:val="14"/>
          <w:szCs w:val="14"/>
          <w:color w:val="auto"/>
        </w:rPr>
      </w:pPr>
    </w:p>
    <w:p>
      <w:pPr>
        <w:jc w:val="both"/>
        <w:ind w:left="520" w:hanging="260"/>
        <w:spacing w:after="0" w:line="221" w:lineRule="auto"/>
        <w:tabs>
          <w:tab w:leader="none" w:pos="513" w:val="left"/>
        </w:tabs>
        <w:numPr>
          <w:ilvl w:val="1"/>
          <w:numId w:val="45"/>
        </w:numPr>
        <w:rPr>
          <w:rFonts w:ascii="Verdana" w:cs="Verdana" w:eastAsia="Verdana" w:hAnsi="Verdana"/>
          <w:sz w:val="14"/>
          <w:szCs w:val="14"/>
          <w:color w:val="auto"/>
        </w:rPr>
      </w:pPr>
      <w:r>
        <w:rPr>
          <w:rFonts w:ascii="Verdana" w:cs="Verdana" w:eastAsia="Verdana" w:hAnsi="Verdana"/>
          <w:sz w:val="14"/>
          <w:szCs w:val="14"/>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Verdana" w:cs="Verdana" w:eastAsia="Verdana" w:hAnsi="Verdana"/>
          <w:sz w:val="14"/>
          <w:szCs w:val="14"/>
          <w:color w:val="auto"/>
        </w:rPr>
      </w:pPr>
    </w:p>
    <w:p>
      <w:pPr>
        <w:ind w:left="260" w:hanging="255"/>
        <w:spacing w:after="0" w:line="234" w:lineRule="auto"/>
        <w:tabs>
          <w:tab w:leader="none" w:pos="255" w:val="left"/>
        </w:tabs>
        <w:numPr>
          <w:ilvl w:val="0"/>
          <w:numId w:val="45"/>
        </w:numPr>
        <w:rPr>
          <w:rFonts w:ascii="Verdana" w:cs="Verdana" w:eastAsia="Verdana" w:hAnsi="Verdana"/>
          <w:sz w:val="14"/>
          <w:szCs w:val="14"/>
          <w:color w:val="auto"/>
        </w:rPr>
      </w:pPr>
      <w:r>
        <w:rPr>
          <w:rFonts w:ascii="Verdana" w:cs="Verdana" w:eastAsia="Verdana" w:hAnsi="Verdana"/>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Verdana" w:cs="Verdana" w:eastAsia="Verdana" w:hAnsi="Verdana"/>
          <w:sz w:val="14"/>
          <w:szCs w:val="14"/>
          <w:color w:val="auto"/>
        </w:rPr>
      </w:pPr>
    </w:p>
    <w:p>
      <w:pPr>
        <w:ind w:left="520" w:hanging="260"/>
        <w:spacing w:after="0" w:line="227" w:lineRule="auto"/>
        <w:tabs>
          <w:tab w:leader="none" w:pos="510" w:val="left"/>
        </w:tabs>
        <w:numPr>
          <w:ilvl w:val="1"/>
          <w:numId w:val="45"/>
        </w:numPr>
        <w:rPr>
          <w:rFonts w:ascii="Verdana" w:cs="Verdana" w:eastAsia="Verdana" w:hAnsi="Verdana"/>
          <w:sz w:val="14"/>
          <w:szCs w:val="14"/>
          <w:color w:val="auto"/>
        </w:rPr>
      </w:pPr>
      <w:r>
        <w:rPr>
          <w:rFonts w:ascii="Verdana" w:cs="Verdana" w:eastAsia="Verdana" w:hAnsi="Verdana"/>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Verdana" w:cs="Verdana" w:eastAsia="Verdana" w:hAnsi="Verdana"/>
          <w:sz w:val="14"/>
          <w:szCs w:val="14"/>
          <w:color w:val="auto"/>
        </w:rPr>
      </w:pPr>
    </w:p>
    <w:p>
      <w:pPr>
        <w:ind w:left="520" w:hanging="260"/>
        <w:spacing w:after="0" w:line="227" w:lineRule="auto"/>
        <w:tabs>
          <w:tab w:leader="none" w:pos="513" w:val="left"/>
        </w:tabs>
        <w:numPr>
          <w:ilvl w:val="1"/>
          <w:numId w:val="45"/>
        </w:numPr>
        <w:rPr>
          <w:rFonts w:ascii="Verdana" w:cs="Verdana" w:eastAsia="Verdana" w:hAnsi="Verdana"/>
          <w:sz w:val="14"/>
          <w:szCs w:val="14"/>
          <w:color w:val="auto"/>
        </w:rPr>
      </w:pPr>
      <w:r>
        <w:rPr>
          <w:rFonts w:ascii="Verdana" w:cs="Verdana" w:eastAsia="Verdana" w:hAnsi="Verdana"/>
          <w:sz w:val="14"/>
          <w:szCs w:val="14"/>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7620</wp:posOffset>
            </wp:positionV>
            <wp:extent cx="357759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Van A. Dukeman</w:t>
      </w:r>
    </w:p>
    <w:p>
      <w:pPr>
        <w:spacing w:after="0" w:line="1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Chairman and Chief Executive Officer</w:t>
      </w:r>
    </w:p>
    <w:p>
      <w:pPr>
        <w:spacing w:after="0" w:line="199" w:lineRule="exact"/>
        <w:rPr>
          <w:sz w:val="20"/>
          <w:szCs w:val="20"/>
          <w:color w:val="auto"/>
        </w:rPr>
      </w:pPr>
    </w:p>
    <w:p>
      <w:pPr>
        <w:spacing w:after="0"/>
        <w:rPr>
          <w:sz w:val="20"/>
          <w:szCs w:val="20"/>
          <w:color w:val="auto"/>
        </w:rPr>
      </w:pPr>
      <w:r>
        <w:rPr>
          <w:rFonts w:ascii="Verdana" w:cs="Verdana" w:eastAsia="Verdana" w:hAnsi="Verdana"/>
          <w:sz w:val="14"/>
          <w:szCs w:val="14"/>
          <w:color w:val="auto"/>
        </w:rPr>
        <w:t>Date: May 9, 2025</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35" w:right="319" w:bottom="1440" w:gutter="0" w:footer="0" w:header="0"/>
        </w:sectPr>
      </w:pPr>
    </w:p>
    <w:bookmarkStart w:id="117" w:name="page118"/>
    <w:bookmarkEnd w:id="117"/>
    <w:p>
      <w:pPr>
        <w:jc w:val="right"/>
        <w:spacing w:after="0"/>
        <w:rPr>
          <w:sz w:val="20"/>
          <w:szCs w:val="20"/>
          <w:color w:val="auto"/>
        </w:rPr>
      </w:pPr>
      <w:r>
        <w:rPr>
          <w:rFonts w:ascii="Verdana" w:cs="Verdana" w:eastAsia="Verdana" w:hAnsi="Verdana"/>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560"/>
        <w:spacing w:after="0"/>
        <w:rPr>
          <w:sz w:val="20"/>
          <w:szCs w:val="20"/>
          <w:color w:val="auto"/>
        </w:rPr>
      </w:pPr>
      <w:r>
        <w:rPr>
          <w:rFonts w:ascii="Verdana" w:cs="Verdana" w:eastAsia="Verdana" w:hAnsi="Verdana"/>
          <w:sz w:val="14"/>
          <w:szCs w:val="14"/>
          <w:b w:val="1"/>
          <w:bCs w:val="1"/>
          <w:color w:val="auto"/>
        </w:rPr>
        <w:t>CERTIFICATION OF PRINCIPAL FINANCIAL OFFICER</w:t>
      </w:r>
    </w:p>
    <w:p>
      <w:pPr>
        <w:spacing w:after="0" w:line="116" w:lineRule="exact"/>
        <w:rPr>
          <w:sz w:val="20"/>
          <w:szCs w:val="20"/>
          <w:color w:val="auto"/>
        </w:rPr>
      </w:pPr>
    </w:p>
    <w:p>
      <w:pPr>
        <w:spacing w:after="0"/>
        <w:rPr>
          <w:sz w:val="20"/>
          <w:szCs w:val="20"/>
          <w:color w:val="auto"/>
        </w:rPr>
      </w:pPr>
      <w:r>
        <w:rPr>
          <w:rFonts w:ascii="Verdana" w:cs="Verdana" w:eastAsia="Verdana" w:hAnsi="Verdana"/>
          <w:sz w:val="14"/>
          <w:szCs w:val="14"/>
          <w:color w:val="auto"/>
        </w:rPr>
        <w:t>I, Scott A. Phillips, Interim Chief Financial Officer, Executive Vice President and Chief Accounting Officer of First Busey Corporation, certify that:</w:t>
      </w:r>
    </w:p>
    <w:p>
      <w:pPr>
        <w:spacing w:after="0" w:line="116" w:lineRule="exact"/>
        <w:rPr>
          <w:sz w:val="20"/>
          <w:szCs w:val="20"/>
          <w:color w:val="auto"/>
        </w:rPr>
      </w:pPr>
    </w:p>
    <w:p>
      <w:pPr>
        <w:ind w:left="260" w:hanging="255"/>
        <w:spacing w:after="0"/>
        <w:tabs>
          <w:tab w:leader="none" w:pos="260" w:val="left"/>
        </w:tabs>
        <w:numPr>
          <w:ilvl w:val="0"/>
          <w:numId w:val="46"/>
        </w:numPr>
        <w:rPr>
          <w:rFonts w:ascii="Verdana" w:cs="Verdana" w:eastAsia="Verdana" w:hAnsi="Verdana"/>
          <w:sz w:val="14"/>
          <w:szCs w:val="14"/>
          <w:color w:val="auto"/>
        </w:rPr>
      </w:pPr>
      <w:r>
        <w:rPr>
          <w:rFonts w:ascii="Verdana" w:cs="Verdana" w:eastAsia="Verdana" w:hAnsi="Verdana"/>
          <w:sz w:val="14"/>
          <w:szCs w:val="14"/>
          <w:color w:val="auto"/>
        </w:rPr>
        <w:t>I have reviewed this Quarterly Report on Form 10-Q of First Busey Corporation;</w:t>
      </w:r>
    </w:p>
    <w:p>
      <w:pPr>
        <w:spacing w:after="0" w:line="116" w:lineRule="exact"/>
        <w:rPr>
          <w:rFonts w:ascii="Verdana" w:cs="Verdana" w:eastAsia="Verdana" w:hAnsi="Verdana"/>
          <w:sz w:val="14"/>
          <w:szCs w:val="14"/>
          <w:color w:val="auto"/>
        </w:rPr>
      </w:pPr>
    </w:p>
    <w:p>
      <w:pPr>
        <w:jc w:val="both"/>
        <w:ind w:left="260" w:hanging="255"/>
        <w:spacing w:after="0" w:line="216" w:lineRule="auto"/>
        <w:tabs>
          <w:tab w:leader="none" w:pos="255" w:val="left"/>
        </w:tabs>
        <w:numPr>
          <w:ilvl w:val="0"/>
          <w:numId w:val="46"/>
        </w:numPr>
        <w:rPr>
          <w:rFonts w:ascii="Verdana" w:cs="Verdana" w:eastAsia="Verdana" w:hAnsi="Verdana"/>
          <w:sz w:val="14"/>
          <w:szCs w:val="14"/>
          <w:color w:val="auto"/>
        </w:rPr>
      </w:pPr>
      <w:r>
        <w:rPr>
          <w:rFonts w:ascii="Verdana" w:cs="Verdana" w:eastAsia="Verdana" w:hAnsi="Verdana"/>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2" w:lineRule="exact"/>
        <w:rPr>
          <w:rFonts w:ascii="Verdana" w:cs="Verdana" w:eastAsia="Verdana" w:hAnsi="Verdana"/>
          <w:sz w:val="14"/>
          <w:szCs w:val="14"/>
          <w:color w:val="auto"/>
        </w:rPr>
      </w:pPr>
    </w:p>
    <w:p>
      <w:pPr>
        <w:ind w:left="260" w:hanging="255"/>
        <w:spacing w:after="0" w:line="227" w:lineRule="auto"/>
        <w:tabs>
          <w:tab w:leader="none" w:pos="255" w:val="left"/>
        </w:tabs>
        <w:numPr>
          <w:ilvl w:val="0"/>
          <w:numId w:val="46"/>
        </w:numPr>
        <w:rPr>
          <w:rFonts w:ascii="Verdana" w:cs="Verdana" w:eastAsia="Verdana" w:hAnsi="Verdana"/>
          <w:sz w:val="14"/>
          <w:szCs w:val="14"/>
          <w:color w:val="auto"/>
        </w:rPr>
      </w:pPr>
      <w:r>
        <w:rPr>
          <w:rFonts w:ascii="Verdana" w:cs="Verdana" w:eastAsia="Verdana" w:hAnsi="Verdana"/>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2" w:lineRule="exact"/>
        <w:rPr>
          <w:rFonts w:ascii="Verdana" w:cs="Verdana" w:eastAsia="Verdana" w:hAnsi="Verdana"/>
          <w:sz w:val="14"/>
          <w:szCs w:val="14"/>
          <w:color w:val="auto"/>
        </w:rPr>
      </w:pPr>
    </w:p>
    <w:p>
      <w:pPr>
        <w:jc w:val="both"/>
        <w:ind w:left="260" w:hanging="255"/>
        <w:spacing w:after="0" w:line="221" w:lineRule="auto"/>
        <w:tabs>
          <w:tab w:leader="none" w:pos="255" w:val="left"/>
        </w:tabs>
        <w:numPr>
          <w:ilvl w:val="0"/>
          <w:numId w:val="46"/>
        </w:numPr>
        <w:rPr>
          <w:rFonts w:ascii="Verdana" w:cs="Verdana" w:eastAsia="Verdana" w:hAnsi="Verdana"/>
          <w:sz w:val="14"/>
          <w:szCs w:val="14"/>
          <w:color w:val="auto"/>
        </w:rPr>
      </w:pPr>
      <w:r>
        <w:rPr>
          <w:rFonts w:ascii="Verdana" w:cs="Verdana" w:eastAsia="Verdana" w:hAnsi="Verdana"/>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Verdana" w:cs="Verdana" w:eastAsia="Verdana" w:hAnsi="Verdana"/>
          <w:sz w:val="14"/>
          <w:szCs w:val="14"/>
          <w:color w:val="auto"/>
        </w:rPr>
      </w:pPr>
    </w:p>
    <w:p>
      <w:pPr>
        <w:jc w:val="both"/>
        <w:ind w:left="520" w:hanging="260"/>
        <w:spacing w:after="0" w:line="221" w:lineRule="auto"/>
        <w:tabs>
          <w:tab w:leader="none" w:pos="510" w:val="left"/>
        </w:tabs>
        <w:numPr>
          <w:ilvl w:val="1"/>
          <w:numId w:val="46"/>
        </w:numPr>
        <w:rPr>
          <w:rFonts w:ascii="Verdana" w:cs="Verdana" w:eastAsia="Verdana" w:hAnsi="Verdana"/>
          <w:sz w:val="14"/>
          <w:szCs w:val="14"/>
          <w:color w:val="auto"/>
        </w:rPr>
      </w:pPr>
      <w:r>
        <w:rPr>
          <w:rFonts w:ascii="Verdana" w:cs="Verdana" w:eastAsia="Verdana" w:hAnsi="Verdana"/>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2" w:lineRule="exact"/>
        <w:rPr>
          <w:rFonts w:ascii="Verdana" w:cs="Verdana" w:eastAsia="Verdana" w:hAnsi="Verdana"/>
          <w:sz w:val="14"/>
          <w:szCs w:val="14"/>
          <w:color w:val="auto"/>
        </w:rPr>
      </w:pPr>
    </w:p>
    <w:p>
      <w:pPr>
        <w:jc w:val="both"/>
        <w:ind w:left="520" w:hanging="260"/>
        <w:spacing w:after="0" w:line="216" w:lineRule="auto"/>
        <w:tabs>
          <w:tab w:leader="none" w:pos="513" w:val="left"/>
        </w:tabs>
        <w:numPr>
          <w:ilvl w:val="1"/>
          <w:numId w:val="46"/>
        </w:numPr>
        <w:rPr>
          <w:rFonts w:ascii="Verdana" w:cs="Verdana" w:eastAsia="Verdana" w:hAnsi="Verdana"/>
          <w:sz w:val="14"/>
          <w:szCs w:val="14"/>
          <w:color w:val="auto"/>
        </w:rPr>
      </w:pPr>
      <w:r>
        <w:rPr>
          <w:rFonts w:ascii="Verdana" w:cs="Verdana" w:eastAsia="Verdana" w:hAnsi="Verdana"/>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Verdana" w:cs="Verdana" w:eastAsia="Verdana" w:hAnsi="Verdana"/>
          <w:sz w:val="14"/>
          <w:szCs w:val="14"/>
          <w:color w:val="auto"/>
        </w:rPr>
      </w:pPr>
    </w:p>
    <w:p>
      <w:pPr>
        <w:ind w:left="520" w:hanging="260"/>
        <w:spacing w:after="0" w:line="227" w:lineRule="auto"/>
        <w:tabs>
          <w:tab w:leader="none" w:pos="520" w:val="left"/>
        </w:tabs>
        <w:numPr>
          <w:ilvl w:val="1"/>
          <w:numId w:val="46"/>
        </w:numPr>
        <w:rPr>
          <w:rFonts w:ascii="Verdana" w:cs="Verdana" w:eastAsia="Verdana" w:hAnsi="Verdana"/>
          <w:sz w:val="14"/>
          <w:szCs w:val="14"/>
          <w:color w:val="auto"/>
        </w:rPr>
      </w:pPr>
      <w:r>
        <w:rPr>
          <w:rFonts w:ascii="Verdana" w:cs="Verdana" w:eastAsia="Verdana" w:hAnsi="Verdana"/>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02" w:lineRule="exact"/>
        <w:rPr>
          <w:rFonts w:ascii="Verdana" w:cs="Verdana" w:eastAsia="Verdana" w:hAnsi="Verdana"/>
          <w:sz w:val="14"/>
          <w:szCs w:val="14"/>
          <w:color w:val="auto"/>
        </w:rPr>
      </w:pPr>
    </w:p>
    <w:p>
      <w:pPr>
        <w:jc w:val="both"/>
        <w:ind w:left="520" w:hanging="260"/>
        <w:spacing w:after="0" w:line="221" w:lineRule="auto"/>
        <w:tabs>
          <w:tab w:leader="none" w:pos="513" w:val="left"/>
        </w:tabs>
        <w:numPr>
          <w:ilvl w:val="1"/>
          <w:numId w:val="46"/>
        </w:numPr>
        <w:rPr>
          <w:rFonts w:ascii="Verdana" w:cs="Verdana" w:eastAsia="Verdana" w:hAnsi="Verdana"/>
          <w:sz w:val="14"/>
          <w:szCs w:val="14"/>
          <w:color w:val="auto"/>
        </w:rPr>
      </w:pPr>
      <w:r>
        <w:rPr>
          <w:rFonts w:ascii="Verdana" w:cs="Verdana" w:eastAsia="Verdana" w:hAnsi="Verdana"/>
          <w:sz w:val="14"/>
          <w:szCs w:val="14"/>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Verdana" w:cs="Verdana" w:eastAsia="Verdana" w:hAnsi="Verdana"/>
          <w:sz w:val="14"/>
          <w:szCs w:val="14"/>
          <w:color w:val="auto"/>
        </w:rPr>
      </w:pPr>
    </w:p>
    <w:p>
      <w:pPr>
        <w:ind w:left="260" w:hanging="255"/>
        <w:spacing w:after="0" w:line="234" w:lineRule="auto"/>
        <w:tabs>
          <w:tab w:leader="none" w:pos="255" w:val="left"/>
        </w:tabs>
        <w:numPr>
          <w:ilvl w:val="0"/>
          <w:numId w:val="46"/>
        </w:numPr>
        <w:rPr>
          <w:rFonts w:ascii="Verdana" w:cs="Verdana" w:eastAsia="Verdana" w:hAnsi="Verdana"/>
          <w:sz w:val="14"/>
          <w:szCs w:val="14"/>
          <w:color w:val="auto"/>
        </w:rPr>
      </w:pPr>
      <w:r>
        <w:rPr>
          <w:rFonts w:ascii="Verdana" w:cs="Verdana" w:eastAsia="Verdana" w:hAnsi="Verdana"/>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Verdana" w:cs="Verdana" w:eastAsia="Verdana" w:hAnsi="Verdana"/>
          <w:sz w:val="14"/>
          <w:szCs w:val="14"/>
          <w:color w:val="auto"/>
        </w:rPr>
      </w:pPr>
    </w:p>
    <w:p>
      <w:pPr>
        <w:ind w:left="520" w:hanging="260"/>
        <w:spacing w:after="0" w:line="227" w:lineRule="auto"/>
        <w:tabs>
          <w:tab w:leader="none" w:pos="510" w:val="left"/>
        </w:tabs>
        <w:numPr>
          <w:ilvl w:val="1"/>
          <w:numId w:val="46"/>
        </w:numPr>
        <w:rPr>
          <w:rFonts w:ascii="Verdana" w:cs="Verdana" w:eastAsia="Verdana" w:hAnsi="Verdana"/>
          <w:sz w:val="14"/>
          <w:szCs w:val="14"/>
          <w:color w:val="auto"/>
        </w:rPr>
      </w:pPr>
      <w:r>
        <w:rPr>
          <w:rFonts w:ascii="Verdana" w:cs="Verdana" w:eastAsia="Verdana" w:hAnsi="Verdana"/>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Verdana" w:cs="Verdana" w:eastAsia="Verdana" w:hAnsi="Verdana"/>
          <w:sz w:val="14"/>
          <w:szCs w:val="14"/>
          <w:color w:val="auto"/>
        </w:rPr>
      </w:pPr>
    </w:p>
    <w:p>
      <w:pPr>
        <w:ind w:left="520" w:hanging="260"/>
        <w:spacing w:after="0" w:line="227" w:lineRule="auto"/>
        <w:tabs>
          <w:tab w:leader="none" w:pos="513" w:val="left"/>
        </w:tabs>
        <w:numPr>
          <w:ilvl w:val="1"/>
          <w:numId w:val="46"/>
        </w:numPr>
        <w:rPr>
          <w:rFonts w:ascii="Verdana" w:cs="Verdana" w:eastAsia="Verdana" w:hAnsi="Verdana"/>
          <w:sz w:val="14"/>
          <w:szCs w:val="14"/>
          <w:color w:val="auto"/>
        </w:rPr>
      </w:pPr>
      <w:r>
        <w:rPr>
          <w:rFonts w:ascii="Verdana" w:cs="Verdana" w:eastAsia="Verdana" w:hAnsi="Verdana"/>
          <w:sz w:val="14"/>
          <w:szCs w:val="14"/>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5660"/>
        <w:spacing w:after="0"/>
        <w:rPr>
          <w:sz w:val="20"/>
          <w:szCs w:val="20"/>
          <w:color w:val="auto"/>
        </w:rPr>
      </w:pPr>
      <w:r>
        <w:rPr>
          <w:rFonts w:ascii="Verdana" w:cs="Verdana" w:eastAsia="Verdana" w:hAnsi="Verdana"/>
          <w:sz w:val="14"/>
          <w:szCs w:val="14"/>
          <w:color w:val="auto"/>
        </w:rPr>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8890</wp:posOffset>
            </wp:positionV>
            <wp:extent cx="357759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Scott A. Phillips</w:t>
      </w:r>
    </w:p>
    <w:p>
      <w:pPr>
        <w:spacing w:after="0" w:line="1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Interim Chief Financial Officer, Executive Vice President and Chief Accounting Officer</w:t>
      </w:r>
    </w:p>
    <w:p>
      <w:pPr>
        <w:spacing w:after="0" w:line="199" w:lineRule="exact"/>
        <w:rPr>
          <w:sz w:val="20"/>
          <w:szCs w:val="20"/>
          <w:color w:val="auto"/>
        </w:rPr>
      </w:pPr>
    </w:p>
    <w:p>
      <w:pPr>
        <w:spacing w:after="0"/>
        <w:rPr>
          <w:sz w:val="20"/>
          <w:szCs w:val="20"/>
          <w:color w:val="auto"/>
        </w:rPr>
      </w:pPr>
      <w:r>
        <w:rPr>
          <w:rFonts w:ascii="Verdana" w:cs="Verdana" w:eastAsia="Verdana" w:hAnsi="Verdana"/>
          <w:sz w:val="14"/>
          <w:szCs w:val="14"/>
          <w:color w:val="auto"/>
        </w:rPr>
        <w:t>Date: May 9, 2025</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35" w:right="319" w:bottom="1440" w:gutter="0" w:footer="0" w:header="0"/>
        </w:sectPr>
      </w:pPr>
    </w:p>
    <w:bookmarkStart w:id="118" w:name="page119"/>
    <w:bookmarkEnd w:id="118"/>
    <w:p>
      <w:pPr>
        <w:jc w:val="right"/>
        <w:spacing w:after="0"/>
        <w:rPr>
          <w:sz w:val="20"/>
          <w:szCs w:val="20"/>
          <w:color w:val="auto"/>
        </w:rPr>
      </w:pPr>
      <w:r>
        <w:rPr>
          <w:rFonts w:ascii="Verdana" w:cs="Verdana" w:eastAsia="Verdana" w:hAnsi="Verdana"/>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21"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CERTIFICATION</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I hereby certify, pursuant to 18 U.S.C. Section 1350, as adopted pursuant to Section 906 of the Sarbanes-Oxley Act of 2002, that the accompanying Quarterly Report of First Busey Corporation on Form 10-Q for the quarter ended March 31, 2025,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76"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7620</wp:posOffset>
            </wp:positionV>
            <wp:extent cx="357759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Van A. Dukeman</w:t>
      </w:r>
    </w:p>
    <w:p>
      <w:pPr>
        <w:spacing w:after="0" w:line="1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Chairman and Chief Executive Officer</w:t>
      </w:r>
    </w:p>
    <w:p>
      <w:pPr>
        <w:spacing w:after="0" w:line="220" w:lineRule="exact"/>
        <w:rPr>
          <w:sz w:val="20"/>
          <w:szCs w:val="20"/>
          <w:color w:val="auto"/>
        </w:rPr>
      </w:pPr>
    </w:p>
    <w:p>
      <w:pPr>
        <w:spacing w:after="0"/>
        <w:rPr>
          <w:sz w:val="20"/>
          <w:szCs w:val="20"/>
          <w:color w:val="auto"/>
        </w:rPr>
      </w:pPr>
      <w:r>
        <w:rPr>
          <w:rFonts w:ascii="Verdana" w:cs="Verdana" w:eastAsia="Verdana" w:hAnsi="Verdana"/>
          <w:sz w:val="14"/>
          <w:szCs w:val="14"/>
          <w:color w:val="auto"/>
        </w:rPr>
        <w:t>Date: May 9, 2025</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35" w:right="319" w:bottom="1440" w:gutter="0" w:footer="0" w:header="0"/>
        </w:sectPr>
      </w:pPr>
    </w:p>
    <w:bookmarkStart w:id="119" w:name="page120"/>
    <w:bookmarkEnd w:id="119"/>
    <w:p>
      <w:pPr>
        <w:jc w:val="right"/>
        <w:spacing w:after="0"/>
        <w:rPr>
          <w:sz w:val="20"/>
          <w:szCs w:val="20"/>
          <w:color w:val="auto"/>
        </w:rPr>
      </w:pPr>
      <w:r>
        <w:rPr>
          <w:rFonts w:ascii="Verdana" w:cs="Verdana" w:eastAsia="Verdana" w:hAnsi="Verdana"/>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The following certification is provided by the undersigned Interim Chief Financial Officer of First Busey Corporation on the basis of such officer’s knowledge and belief for the sole purpose of complying with 18 U.S.C. Section 1350, as adopted pursuant to Section 906 of the Sarbanes-Oxley Act of 2002.</w:t>
      </w:r>
    </w:p>
    <w:p>
      <w:pPr>
        <w:spacing w:after="0" w:line="121"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CERTIFICATION</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I hereby certify, pursuant to 18 U.S.C. Section 1350, as adopted pursuant to Section 906 of the Sarbanes-Oxley Act of 2002, that the accompanying Quarterly Report of First Busey Corporation on Form 10-Q for the quarter ended March 31, 2025,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62" w:lineRule="exact"/>
        <w:rPr>
          <w:sz w:val="20"/>
          <w:szCs w:val="20"/>
          <w:color w:val="auto"/>
        </w:rPr>
      </w:pPr>
    </w:p>
    <w:p>
      <w:pPr>
        <w:ind w:left="5660"/>
        <w:spacing w:after="0"/>
        <w:rPr>
          <w:sz w:val="20"/>
          <w:szCs w:val="20"/>
          <w:color w:val="auto"/>
        </w:rPr>
      </w:pPr>
      <w:r>
        <w:rPr>
          <w:rFonts w:ascii="Verdana" w:cs="Verdana" w:eastAsia="Verdana" w:hAnsi="Verdana"/>
          <w:sz w:val="14"/>
          <w:szCs w:val="14"/>
          <w:color w:val="auto"/>
        </w:rPr>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15875</wp:posOffset>
            </wp:positionV>
            <wp:extent cx="357759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5"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Scott A. Phillips</w:t>
      </w:r>
    </w:p>
    <w:p>
      <w:pPr>
        <w:spacing w:after="0" w:line="1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Interim Chief Financial Officer, Executive Vice President and Chief Accounting Officer</w:t>
      </w:r>
    </w:p>
    <w:p>
      <w:pPr>
        <w:spacing w:after="0" w:line="220" w:lineRule="exact"/>
        <w:rPr>
          <w:sz w:val="20"/>
          <w:szCs w:val="20"/>
          <w:color w:val="auto"/>
        </w:rPr>
      </w:pPr>
    </w:p>
    <w:p>
      <w:pPr>
        <w:spacing w:after="0"/>
        <w:rPr>
          <w:sz w:val="20"/>
          <w:szCs w:val="20"/>
          <w:color w:val="auto"/>
        </w:rPr>
      </w:pPr>
      <w:r>
        <w:rPr>
          <w:rFonts w:ascii="Verdana" w:cs="Verdana" w:eastAsia="Verdana" w:hAnsi="Verdana"/>
          <w:sz w:val="14"/>
          <w:szCs w:val="14"/>
          <w:color w:val="auto"/>
        </w:rPr>
        <w:t>Date: May 9, 2025</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sectPr>
      <w:pgSz w:w="11900" w:h="16838" w:orient="portrait"/>
      <w:cols w:equalWidth="0" w:num="1">
        <w:col w:w="11280"/>
      </w:cols>
      <w:pgMar w:left="300" w:top="13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4"/>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3"/>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2"/>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3"/>
      <w:numFmt w:val="bullet"/>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5"/>
    </w:lvl>
  </w:abstractNum>
  <w:abstractNum w:abstractNumId="37">
    <w:nsid w:val="70A64E2A"/>
    <w:multiLevelType w:val="hybridMultilevel"/>
    <w:lvl w:ilvl="0">
      <w:lvlJc w:val="left"/>
      <w:lvlText w:val="(%1)"/>
      <w:numFmt w:val="decimal"/>
      <w:start w:val="17"/>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lvl w:ilvl="1">
      <w:lvlJc w:val="left"/>
      <w:lvlText w:val="%2"/>
      <w:numFmt w:val="decimal"/>
      <w:start w:val="104"/>
    </w:lvl>
  </w:abstractNum>
  <w:abstractNum w:abstractNumId="40">
    <w:nsid w:val="1D4ED43B"/>
    <w:multiLevelType w:val="hybridMultilevel"/>
    <w:lvl w:ilvl="0">
      <w:lvlJc w:val="left"/>
      <w:lvlText w:val="(%1)"/>
      <w:numFmt w:val="lowerLetter"/>
      <w:start w:val="2"/>
    </w:lvl>
  </w:abstractNum>
  <w:abstractNum w:abstractNumId="41">
    <w:nsid w:val="725A06FB"/>
    <w:multiLevelType w:val="hybridMultilevel"/>
    <w:lvl w:ilvl="0">
      <w:lvlJc w:val="left"/>
      <w:lvlText w:val="%1."/>
      <w:numFmt w:val="upperLetter"/>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2"/>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23" Type="http://schemas.openxmlformats.org/officeDocument/2006/relationships/hyperlink" Target="https://www.sec.gov/Archives/edgar/data/0000314489/000031448925000041/buse-20241231.htm" TargetMode="External"/><Relationship Id="rId26" Type="http://schemas.openxmlformats.org/officeDocument/2006/relationships/hyperlink" Target="https://www.sec.gov/Archives/edgar/data/314489/000110465924093098/tm2422366d1_ex2-1.htm" TargetMode="External"/><Relationship Id="rId61" Type="http://schemas.openxmlformats.org/officeDocument/2006/relationships/hyperlink" Target="https://www.sec.gov/Archives/edgar/data/314489/000104746920002220/a2241264zdef14a.htm#le18501_appendix_a" TargetMode="External"/><Relationship Id="rId62" Type="http://schemas.openxmlformats.org/officeDocument/2006/relationships/hyperlink" Target="https://www.sec.gov/Archives/edgar/data/314489/000104746920002220/a2241264zdef14a.htm" TargetMode="External"/><Relationship Id="rId63" Type="http://schemas.openxmlformats.org/officeDocument/2006/relationships/hyperlink" Target="https://www.sec.gov/ix?doc=/Archives/edgar/data/0000314489/000110465923045566/tm231845d3_def14a.htm#tAPA" TargetMode="External"/><Relationship Id="rId64" Type="http://schemas.openxmlformats.org/officeDocument/2006/relationships/hyperlink" Target="https://www.sec.gov/ix?doc=/Archives/edgar/data/0000314489/000110465923045566/tm231845d3_def14a.htm" TargetMode="External"/><Relationship Id="rId68" Type="http://schemas.openxmlformats.org/officeDocument/2006/relationships/hyperlink" Target="https://www.sec.gov/Archives/edgar/data/314489/000110465921048078/tm212379-1_def14a.htm#tAPA" TargetMode="External"/><Relationship Id="rId69" Type="http://schemas.openxmlformats.org/officeDocument/2006/relationships/hyperlink" Target="https://www.sec.gov/Archives/edgar/data/314489/000110465921048078/tm212379-1_def14a.htm" TargetMode="External"/><Relationship Id="rId90" Type="http://schemas.openxmlformats.org/officeDocument/2006/relationships/hyperlink" Target="https://www.sec.gov/Archives/edgar/data/314489/000031448925000041/buse-20241231.htm" TargetMode="External"/><Relationship Id="rId98" Type="http://schemas.openxmlformats.org/officeDocument/2006/relationships/hyperlink" Target="https://www.sec.gov/Archives/edgar/data/0000314489/000110465925019504/tm257855d1_8k.htm" TargetMode="External"/><Relationship Id="rId104" Type="http://schemas.openxmlformats.org/officeDocument/2006/relationships/hyperlink" Target="https://www.sec.gov/Archives/edgar/data/314489/000031448925000041/buse-20241231.htm#iee3442b6153849d68ec48ad284abc6f2_238" TargetMode="External"/><Relationship Id="rId126" Type="http://schemas.openxmlformats.org/officeDocument/2006/relationships/hyperlink" Target="https://www.sec.gov/Archives/edgar/data/314489/000031448924000157/buse-20240331.htm#ie063110b80d346d4afc39a2f97cd3a3c" TargetMode="External"/><Relationship Id="rId144" Type="http://schemas.openxmlformats.org/officeDocument/2006/relationships/hyperlink" Target="https://www.sec.gov/Archives/edgar/data/314489/000031448925000041/buse-20241231.htm#iee3442b6153849d68ec48ad284abc6f2_241" TargetMode="External"/><Relationship Id="rId149" Type="http://schemas.openxmlformats.org/officeDocument/2006/relationships/hyperlink" Target="https://www.sec.gov/Archives/edgar/data/314489/000031448924000157/buse-20240331.htm#i40058eeafc0048118a3e9fc955695ee1_238" TargetMode="External"/><Relationship Id="rId155" Type="http://schemas.openxmlformats.org/officeDocument/2006/relationships/hyperlink" Target="https://www.sec.gov/Archives/edgar/data/314489/000110465915076702/a15-17958_1ex3d1.htm" TargetMode="External"/><Relationship Id="rId156" Type="http://schemas.openxmlformats.org/officeDocument/2006/relationships/hyperlink" Target="https://www.sec.gov/Archives/edgar/data/314489/000110465923124338/tm2331239d7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2025-05-09T15:54:22Z</dcterms:created>
  <dcterms:modified xsi:type="dcterms:W3CDTF">2025-05-09T15:54:22Z</dcterms:modified>
</cp:coreProperties>
</file>