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Proxima Nova;sans-serif" w:hAnsi="Proxima Nova;sans-serif"/>
          <w:b/>
          <w:color w:val="000000"/>
          <w:sz w:val="32"/>
        </w:rPr>
      </w:pPr>
      <w:r>
        <w:rPr>
          <w:rFonts w:ascii="Proxima Nova;sans-serif" w:hAnsi="Proxima Nova;sans-serif"/>
          <w:b/>
          <w:color w:val="000000"/>
          <w:sz w:val="32"/>
        </w:rPr>
        <w:t>UNITED STATES</w:t>
        <w:br/>
        <w:t>SECURITIES AND EXCHANGE COMMISSION</w:t>
      </w:r>
    </w:p>
    <w:p>
      <w:pPr>
        <w:pStyle w:val="TextBody"/>
        <w:bidi w:val="0"/>
        <w:spacing w:lineRule="auto" w:line="240" w:before="120" w:after="283"/>
        <w:jc w:val="center"/>
        <w:rPr>
          <w:rFonts w:ascii="Proxima Nova;sans-serif" w:hAnsi="Proxima Nova;sans-serif"/>
          <w:b/>
          <w:color w:val="000000"/>
          <w:sz w:val="20"/>
        </w:rPr>
      </w:pPr>
      <w:r>
        <w:rPr>
          <w:rFonts w:ascii="Proxima Nova;sans-serif" w:hAnsi="Proxima Nova;sans-serif"/>
          <w:b/>
          <w:color w:val="000000"/>
          <w:sz w:val="20"/>
        </w:rPr>
        <w:t>Washington, D.C. 20549</w:t>
      </w:r>
    </w:p>
    <w:p>
      <w:pPr>
        <w:pStyle w:val="TextBody"/>
        <w:bidi w:val="0"/>
        <w:spacing w:lineRule="auto" w:line="240" w:before="200" w:after="120"/>
        <w:jc w:val="center"/>
        <w:rPr>
          <w:rFonts w:ascii="Proxima Nova;sans-serif" w:hAnsi="Proxima Nova;sans-serif"/>
          <w:b/>
          <w:color w:val="000000"/>
          <w:sz w:val="32"/>
        </w:rPr>
      </w:pPr>
      <w:r>
        <w:rPr>
          <w:rFonts w:ascii="Proxima Nova;sans-serif" w:hAnsi="Proxima Nova;sans-serif"/>
          <w:b/>
          <w:color w:val="000000"/>
          <w:sz w:val="32"/>
        </w:rPr>
        <w:t>FORM 8-K</w:t>
      </w:r>
    </w:p>
    <w:p>
      <w:pPr>
        <w:pStyle w:val="TextBody"/>
        <w:bidi w:val="0"/>
        <w:spacing w:lineRule="auto" w:line="240" w:before="120" w:after="283"/>
        <w:jc w:val="center"/>
        <w:rPr>
          <w:rFonts w:ascii="Proxima Nova;sans-serif" w:hAnsi="Proxima Nova;sans-serif"/>
          <w:b/>
          <w:color w:val="000000"/>
          <w:sz w:val="20"/>
        </w:rPr>
      </w:pPr>
      <w:r>
        <w:rPr>
          <w:rFonts w:ascii="Proxima Nova;sans-serif" w:hAnsi="Proxima Nova;sans-serif"/>
          <w:b/>
          <w:color w:val="000000"/>
          <w:sz w:val="20"/>
        </w:rPr>
        <w:t>CURRENT REPORT</w:t>
      </w:r>
    </w:p>
    <w:p>
      <w:pPr>
        <w:pStyle w:val="TextBody"/>
        <w:bidi w:val="0"/>
        <w:spacing w:lineRule="auto" w:line="240" w:before="400" w:after="283"/>
        <w:jc w:val="center"/>
        <w:rPr>
          <w:rFonts w:ascii="Proxima Nova;sans-serif" w:hAnsi="Proxima Nova;sans-serif"/>
          <w:b/>
          <w:color w:val="000000"/>
          <w:sz w:val="20"/>
        </w:rPr>
      </w:pPr>
      <w:r>
        <w:rPr>
          <w:rFonts w:ascii="Proxima Nova;sans-serif" w:hAnsi="Proxima Nova;sans-serif"/>
          <w:b/>
          <w:color w:val="000000"/>
          <w:sz w:val="20"/>
        </w:rPr>
        <w:t>PURSUANT TO SECTION 13 OR 15(d) OF THE SECURITIES EXCHANGE ACT OF 1934</w:t>
      </w:r>
    </w:p>
    <w:p>
      <w:pPr>
        <w:pStyle w:val="TextBody"/>
        <w:bidi w:val="0"/>
        <w:spacing w:lineRule="auto" w:line="240" w:before="200" w:after="283"/>
        <w:jc w:val="center"/>
        <w:rPr>
          <w:rFonts w:ascii="Proxima Nova;sans-serif" w:hAnsi="Proxima Nova;sans-serif"/>
          <w:b w:val="false"/>
          <w:color w:val="000000"/>
          <w:sz w:val="20"/>
        </w:rPr>
      </w:pPr>
      <w:r>
        <w:rPr>
          <w:rFonts w:ascii="Proxima Nova;sans-serif" w:hAnsi="Proxima Nova;sans-serif"/>
          <w:b w:val="false"/>
          <w:color w:val="000000"/>
          <w:sz w:val="20"/>
        </w:rPr>
        <w:t>Date of Report (Date of earliest event reported): October 13, 2026</w:t>
      </w:r>
    </w:p>
    <w:p>
      <w:pPr>
        <w:pStyle w:val="TextBody"/>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__________________________________________</w:t>
      </w:r>
    </w:p>
    <w:p>
      <w:pPr>
        <w:pStyle w:val="TextBody"/>
        <w:bidi w:val="0"/>
        <w:spacing w:before="200" w:after="283"/>
        <w:jc w:val="center"/>
        <w:rPr/>
      </w:pPr>
      <w:r>
        <w:rPr/>
        <w:drawing>
          <wp:inline distT="0" distB="0" distL="0" distR="0">
            <wp:extent cx="139065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457200"/>
                    </a:xfrm>
                    <a:prstGeom prst="rect">
                      <a:avLst/>
                    </a:prstGeom>
                  </pic:spPr>
                </pic:pic>
              </a:graphicData>
            </a:graphic>
          </wp:inline>
        </w:drawing>
      </w:r>
      <w:bookmarkStart w:id="0" w:name="i-1"/>
      <w:bookmarkEnd w:id="0"/>
    </w:p>
    <w:p>
      <w:pPr>
        <w:pStyle w:val="TextBody"/>
        <w:bidi w:val="0"/>
        <w:spacing w:lineRule="auto" w:line="240" w:before="0" w:after="0"/>
        <w:jc w:val="center"/>
        <w:rPr>
          <w:rFonts w:ascii="Proxima Nova;sans-serif" w:hAnsi="Proxima Nova;sans-serif"/>
          <w:b/>
          <w:color w:val="000000"/>
          <w:sz w:val="32"/>
        </w:rPr>
      </w:pPr>
      <w:r>
        <w:rPr>
          <w:rFonts w:ascii="Proxima Nova;sans-serif" w:hAnsi="Proxima Nova;sans-serif"/>
          <w:b/>
          <w:color w:val="000000"/>
          <w:sz w:val="32"/>
        </w:rPr>
        <w:t>First Busey Corporation</w:t>
      </w:r>
    </w:p>
    <w:p>
      <w:pPr>
        <w:pStyle w:val="TextBody"/>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(Exact name of Registrant as specified in its charter)</w:t>
      </w:r>
    </w:p>
    <w:p>
      <w:pPr>
        <w:pStyle w:val="TextBody"/>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__________________________________________</w:t>
      </w:r>
    </w:p>
    <w:tbl>
      <w:tblPr>
        <w:tblW w:w="9359" w:type="dxa"/>
        <w:jc w:val="left"/>
        <w:tblInd w:w="0" w:type="dxa"/>
        <w:tblLayout w:type="fixed"/>
        <w:tblCellMar>
          <w:top w:w="28" w:type="dxa"/>
          <w:left w:w="28" w:type="dxa"/>
          <w:bottom w:w="28" w:type="dxa"/>
          <w:right w:w="28" w:type="dxa"/>
        </w:tblCellMar>
      </w:tblPr>
      <w:tblGrid>
        <w:gridCol w:w="812"/>
        <w:gridCol w:w="716"/>
        <w:gridCol w:w="722"/>
        <w:gridCol w:w="1261"/>
        <w:gridCol w:w="1261"/>
        <w:gridCol w:w="1273"/>
        <w:gridCol w:w="971"/>
        <w:gridCol w:w="971"/>
        <w:gridCol w:w="1372"/>
      </w:tblGrid>
      <w:tr>
        <w:trPr/>
        <w:tc>
          <w:tcPr>
            <w:tcW w:w="81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Nevada</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001-42677</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37-1078406</w:t>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(State of Incorporation)</w:t>
            </w:r>
          </w:p>
        </w:tc>
        <w:tc>
          <w:tcPr>
            <w:tcW w:w="3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(Commission File Number)</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(I.R.S. Employer Identification No.)</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11440 Tomahawk Creek Parkway</w:t>
            </w:r>
          </w:p>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Leawood, Kansas 66211</w:t>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(Address of Principal Executive Offices)</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color w:val="000000"/>
                <w:sz w:val="20"/>
              </w:rPr>
            </w:pPr>
            <w:r>
              <w:rPr>
                <w:rFonts w:ascii="Proxima Nova;sans-serif" w:hAnsi="Proxima Nova;sans-serif"/>
                <w:b/>
                <w:color w:val="000000"/>
                <w:sz w:val="20"/>
              </w:rPr>
              <w:t>(913) 312-6800</w:t>
            </w:r>
          </w:p>
        </w:tc>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(Registrant’s telephone number, including area code)</w:t>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20"/>
              </w:rPr>
            </w:pPr>
            <w:r>
              <w:rPr>
                <w:rFonts w:ascii="Proxima Nova;sans-serif" w:hAnsi="Proxima Nova;sans-serif"/>
                <w:b/>
                <w:color w:val="000000"/>
                <w:sz w:val="20"/>
              </w:rPr>
              <w:t>N/A</w:t>
            </w:r>
          </w:p>
        </w:tc>
      </w:tr>
      <w:tr>
        <w:trPr/>
        <w:tc>
          <w:tcPr>
            <w:tcW w:w="93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18"/>
              </w:rPr>
            </w:pPr>
            <w:r>
              <w:rPr>
                <w:rFonts w:ascii="Proxima Nova;sans-serif" w:hAnsi="Proxima Nova;sans-serif"/>
                <w:b w:val="false"/>
                <w:color w:val="000000"/>
                <w:sz w:val="18"/>
              </w:rPr>
              <w:t>(Former name or former address, if changed since last report.)</w:t>
            </w:r>
          </w:p>
        </w:tc>
      </w:tr>
    </w:tbl>
    <w:p>
      <w:pPr>
        <w:pStyle w:val="TextBody"/>
        <w:bidi w:val="0"/>
        <w:spacing w:lineRule="auto" w:line="240" w:before="200" w:after="283"/>
        <w:jc w:val="both"/>
        <w:rPr>
          <w:rFonts w:ascii="Proxima Nova;sans-serif" w:hAnsi="Proxima Nova;sans-serif"/>
          <w:b w:val="false"/>
          <w:color w:val="000000"/>
          <w:sz w:val="20"/>
        </w:rPr>
      </w:pPr>
      <w:r>
        <w:rPr>
          <w:rFonts w:ascii="Proxima Nova;sans-serif" w:hAnsi="Proxima Nova;sans-serif"/>
          <w:b w:val="false"/>
          <w:color w:val="000000"/>
          <w:sz w:val="20"/>
        </w:rPr>
        <w:t>Check the appropriate box below if the Form 8-K filing is intended to simultaneously satisfy the filing obligation of the registrant under any of the following provisions: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00"/>
        <w:gridCol w:w="2879"/>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c>
          <w:tcPr>
            <w:tcW w:w="2879"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Written communications pursuant to Rule 425 under the Securities Act (17 CFR 230.425)</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Soliciting material pursuant to Rule 14a-12 under the Exchange Act (17 CFR 240.14a-12)</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Pre-commencement communications pursuant to Rule 14d-2(b) under the Exchange Act (17 CFR 240.14d-2(b))</w:t>
            </w:r>
          </w:p>
        </w:tc>
      </w:tr>
      <w:tr>
        <w:trPr/>
        <w:tc>
          <w:tcPr>
            <w:tcW w:w="1020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18"/>
              </w:rPr>
            </w:pPr>
            <w:r>
              <w:rPr>
                <w:rFonts w:ascii="Proxima Nova;sans-serif" w:hAnsi="Proxima Nova;sans-serif"/>
                <w:b w:val="false"/>
                <w:color w:val="000000"/>
                <w:sz w:val="18"/>
              </w:rPr>
              <w:t>Pre-commencement communications pursuant to Rule 13e-4(c) under the Exchange Act (17 CFR 240.13e-4(c))</w:t>
            </w:r>
          </w:p>
        </w:tc>
      </w:tr>
    </w:tbl>
    <w:p>
      <w:pPr>
        <w:pStyle w:val="TextBody"/>
        <w:bidi w:val="0"/>
        <w:spacing w:lineRule="auto" w:line="288" w:before="200" w:after="283"/>
        <w:jc w:val="both"/>
        <w:rPr>
          <w:rFonts w:ascii="Proxima Nova;sans-serif" w:hAnsi="Proxima Nova;sans-serif"/>
          <w:b/>
          <w:color w:val="000000"/>
          <w:sz w:val="20"/>
        </w:rPr>
      </w:pPr>
      <w:r>
        <w:rPr>
          <w:rFonts w:ascii="Proxima Nova;sans-serif" w:hAnsi="Proxima Nova;sans-serif"/>
          <w:b/>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573"/>
        <w:gridCol w:w="1733"/>
        <w:gridCol w:w="1670"/>
        <w:gridCol w:w="109"/>
        <w:gridCol w:w="109"/>
        <w:gridCol w:w="109"/>
        <w:gridCol w:w="422"/>
        <w:gridCol w:w="422"/>
        <w:gridCol w:w="424"/>
        <w:gridCol w:w="109"/>
        <w:gridCol w:w="109"/>
        <w:gridCol w:w="109"/>
        <w:gridCol w:w="674"/>
        <w:gridCol w:w="674"/>
        <w:gridCol w:w="959"/>
      </w:tblGrid>
      <w:tr>
        <w:trPr/>
        <w:tc>
          <w:tcPr>
            <w:tcW w:w="2573"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color w:val="000000"/>
                <w:sz w:val="18"/>
              </w:rPr>
            </w:pPr>
            <w:r>
              <w:rPr>
                <w:rFonts w:ascii="Proxima Nova;sans-serif" w:hAnsi="Proxima Nova;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18"/>
              </w:rPr>
            </w:pPr>
            <w:r>
              <w:rPr>
                <w:rFonts w:ascii="Proxima Nova;sans-serif" w:hAnsi="Proxima Nova;sans-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color w:val="000000"/>
                <w:sz w:val="18"/>
              </w:rPr>
            </w:pPr>
            <w:r>
              <w:rPr>
                <w:rFonts w:ascii="Proxima Nova;sans-serif" w:hAnsi="Proxima Nova;sans-serif"/>
                <w:b/>
                <w:color w:val="000000"/>
                <w:sz w:val="18"/>
              </w:rPr>
              <w:t>Name of each exchange on which registered</w:t>
            </w:r>
          </w:p>
        </w:tc>
      </w:tr>
      <w:tr>
        <w:trPr/>
        <w:tc>
          <w:tcPr>
            <w:tcW w:w="59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Common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The Nasdaq Stock Market LLC</w:t>
            </w:r>
          </w:p>
        </w:tc>
      </w:tr>
      <w:tr>
        <w:trPr/>
        <w:tc>
          <w:tcPr>
            <w:tcW w:w="597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val="false"/>
                <w:color w:val="000000"/>
                <w:sz w:val="20"/>
              </w:rPr>
            </w:pPr>
            <w:r>
              <w:rPr>
                <w:rFonts w:ascii="Proxima Nova;sans-serif" w:hAnsi="Proxima Nova;sans-serif"/>
                <w:b w:val="false"/>
                <w:color w:val="000000"/>
                <w:sz w:val="20"/>
              </w:rPr>
              <w:t>Depositary Shares, each representing a 1/40th interest in a share of 8.25% Fixed-Rate Series B Non-Cumulative Perpetual Preferred Stock, $0.001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BUSEP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Proxima Nova;sans-serif" w:hAnsi="Proxima Nova;sans-serif"/>
                <w:b w:val="false"/>
                <w:color w:val="000000"/>
                <w:sz w:val="20"/>
              </w:rPr>
            </w:pPr>
            <w:r>
              <w:rPr>
                <w:rFonts w:ascii="Proxima Nova;sans-serif" w:hAnsi="Proxima Nova;sans-serif"/>
                <w:b w:val="false"/>
                <w:color w:val="000000"/>
                <w:sz w:val="20"/>
              </w:rPr>
              <w:t>The Nasdaq Stock Market LLC</w:t>
            </w:r>
          </w:p>
        </w:tc>
      </w:tr>
    </w:tbl>
    <w:p>
      <w:pPr>
        <w:pStyle w:val="TextBody"/>
        <w:bidi w:val="0"/>
        <w:spacing w:lineRule="auto" w:line="240" w:before="200" w:after="283"/>
        <w:jc w:val="both"/>
        <w:rPr/>
      </w:pPr>
      <w:r>
        <w:rPr>
          <w:rFonts w:ascii="Proxima Nova;sans-serif" w:hAnsi="Proxima Nova;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r>
        <w:rPr>
          <w:color w:val="000000"/>
        </w:rPr>
        <w:t xml:space="preserve"> ☐</w:t>
      </w:r>
    </w:p>
    <w:p>
      <w:pPr>
        <w:pStyle w:val="TextBody"/>
        <w:bidi w:val="0"/>
        <w:spacing w:lineRule="auto" w:line="240" w:before="200" w:after="200"/>
        <w:jc w:val="both"/>
        <w:rPr/>
      </w:pPr>
      <w:r>
        <w:rPr>
          <w:rFonts w:ascii="Proxima Nova;sans-serif" w:hAnsi="Proxima Nova;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684530"/>
                <wp:effectExtent l="0" t="0" r="0" b="0"/>
                <wp:wrapNone/>
                <wp:docPr id="2" name="Frame1"/>
                <a:graphic xmlns:a="http://schemas.openxmlformats.org/drawingml/2006/main">
                  <a:graphicData uri="http://schemas.microsoft.com/office/word/2010/wordprocessingShape">
                    <wps:wsp>
                      <wps:cNvSpPr txBox="1"/>
                      <wps:spPr>
                        <a:xfrm>
                          <a:off x="0" y="0"/>
                          <a:ext cx="6480175" cy="684530"/>
                        </a:xfrm>
                        <a:prstGeom prst="rect"/>
                        <a:solidFill>
                          <a:srgbClr val="FFFFFF"/>
                        </a:solidFill>
                      </wps:spPr>
                      <wps:txb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3.9pt;mso-wrap-distance-left:0pt;mso-wrap-distance-right:0pt;mso-wrap-distance-top:0pt;mso-wrap-distance-bottom:0pt;margin-top:0pt;mso-position-vertical:top;mso-position-vertical-relative:text;margin-left:0pt;mso-position-horizontal:left;mso-position-horizontal-relative:text">
                <v:textbox>
                  <w:txbxContent>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before="200" w:after="200"/>
        <w:jc w:val="both"/>
        <w:rPr/>
      </w:pPr>
      <w:r>
        <w:rPr/>
      </w:r>
    </w:p>
    <w:p>
      <w:pPr>
        <w:pStyle w:val="TextBody"/>
        <w:bidi w:val="0"/>
        <w:spacing w:lineRule="auto" w:line="288" w:before="200" w:after="200"/>
        <w:jc w:val="both"/>
        <w:rPr>
          <w:rFonts w:ascii="Proxima Nova;sans-serif" w:hAnsi="Proxima Nova;sans-serif"/>
          <w:b/>
          <w:color w:val="000000"/>
          <w:sz w:val="20"/>
        </w:rPr>
      </w:pPr>
      <w:r>
        <w:rPr>
          <w:rFonts w:ascii="Proxima Nova;sans-serif" w:hAnsi="Proxima Nova;sans-serif"/>
          <w:b/>
          <w:color w:val="000000"/>
          <w:sz w:val="20"/>
        </w:rPr>
        <w:t>Item 8.01    Other Events.</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On October 13, 2026, First Busey Corporation declared a quarterly cash dividend of $0.26 per share on its outstanding shares of common stock. The dividend is payable on October 30, 2026, to stockholders of record as of October 23,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02260"/>
                <wp:effectExtent l="0" t="0" r="0" b="0"/>
                <wp:wrapNone/>
                <wp:docPr id="3" name="Frame2"/>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both"/>
                        <w:rPr/>
                      </w:pPr>
                      <w:r>
                        <w:rPr/>
                      </w:r>
                    </w:p>
                  </w:txbxContent>
                </v:textbox>
                <w10:wrap type="none"/>
              </v:rect>
            </w:pict>
          </mc:Fallback>
        </mc:AlternateContent>
      </w:r>
    </w:p>
    <w:p>
      <w:pPr>
        <w:pStyle w:val="TextBody"/>
        <w:bidi w:val="0"/>
        <w:spacing w:before="200" w:after="200"/>
        <w:jc w:val="both"/>
        <w:rPr/>
      </w:pPr>
      <w:r>
        <w:rPr/>
      </w:r>
    </w:p>
    <w:p>
      <w:pPr>
        <w:pStyle w:val="TextBody"/>
        <w:bidi w:val="0"/>
        <w:spacing w:lineRule="auto" w:line="288" w:before="200" w:after="200"/>
        <w:jc w:val="center"/>
        <w:rPr>
          <w:rFonts w:ascii="Proxima Nova;sans-serif" w:hAnsi="Proxima Nova;sans-serif"/>
          <w:b/>
          <w:color w:val="000000"/>
          <w:sz w:val="20"/>
        </w:rPr>
      </w:pPr>
      <w:r>
        <w:rPr>
          <w:rFonts w:ascii="Proxima Nova;sans-serif" w:hAnsi="Proxima Nova;sans-serif"/>
          <w:b/>
          <w:color w:val="000000"/>
          <w:sz w:val="20"/>
        </w:rPr>
        <w:t>Signature</w:t>
      </w:r>
    </w:p>
    <w:p>
      <w:pPr>
        <w:pStyle w:val="TextBody"/>
        <w:bidi w:val="0"/>
        <w:spacing w:lineRule="auto" w:line="288" w:before="200" w:after="200"/>
        <w:jc w:val="both"/>
        <w:rPr>
          <w:rFonts w:ascii="Proxima Nova;sans-serif" w:hAnsi="Proxima Nova;sans-serif"/>
          <w:b w:val="false"/>
          <w:color w:val="000000"/>
          <w:sz w:val="20"/>
        </w:rPr>
      </w:pPr>
      <w:r>
        <w:rPr>
          <w:rFonts w:ascii="Proxima Nova;sans-serif" w:hAnsi="Proxima Nova;sans-serif"/>
          <w:b w:val="false"/>
          <w:color w:val="000000"/>
          <w:sz w:val="20"/>
        </w:rPr>
        <w:t>Pursuant to the requirements of the Securities Exchange Act of 1934, the Registrant has duly caused this report to be signed on its behalf by the undersigned, thereunto duly authorized.</w:t>
      </w:r>
    </w:p>
    <w:tbl>
      <w:tblPr>
        <w:tblW w:w="7810" w:type="dxa"/>
        <w:jc w:val="left"/>
        <w:tblInd w:w="0" w:type="dxa"/>
        <w:tblLayout w:type="fixed"/>
        <w:tblCellMar>
          <w:top w:w="28" w:type="dxa"/>
          <w:left w:w="28" w:type="dxa"/>
          <w:bottom w:w="28" w:type="dxa"/>
          <w:right w:w="28" w:type="dxa"/>
        </w:tblCellMar>
      </w:tblPr>
      <w:tblGrid>
        <w:gridCol w:w="233"/>
        <w:gridCol w:w="205"/>
        <w:gridCol w:w="207"/>
        <w:gridCol w:w="589"/>
        <w:gridCol w:w="589"/>
        <w:gridCol w:w="591"/>
        <w:gridCol w:w="109"/>
        <w:gridCol w:w="109"/>
        <w:gridCol w:w="109"/>
        <w:gridCol w:w="139"/>
        <w:gridCol w:w="139"/>
        <w:gridCol w:w="141"/>
        <w:gridCol w:w="970"/>
        <w:gridCol w:w="970"/>
        <w:gridCol w:w="970"/>
        <w:gridCol w:w="509"/>
        <w:gridCol w:w="509"/>
        <w:gridCol w:w="72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Proxima Nova;sans-serif" w:hAnsi="Proxima Nova;sans-serif"/>
                <w:b/>
                <w:color w:val="000000"/>
                <w:sz w:val="20"/>
              </w:rPr>
            </w:pPr>
            <w:r>
              <w:rPr>
                <w:rFonts w:ascii="Proxima Nova;sans-serif" w:hAnsi="Proxima Nova;sans-serif"/>
                <w:b/>
                <w:color w:val="000000"/>
                <w:sz w:val="20"/>
              </w:rPr>
              <w:t>FIRST BUSEY CORPORATION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Date:</w:t>
            </w:r>
          </w:p>
        </w:tc>
        <w:tc>
          <w:tcPr>
            <w:tcW w:w="17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Proxima Nova;sans-serif" w:hAnsi="Proxima Nova;sans-serif"/>
                <w:b w:val="false"/>
                <w:color w:val="000000"/>
                <w:sz w:val="20"/>
              </w:rPr>
            </w:pPr>
            <w:r>
              <w:rPr>
                <w:rFonts w:ascii="Proxima Nova;sans-serif" w:hAnsi="Proxima Nova;sans-serif"/>
                <w:b w:val="false"/>
                <w:color w:val="000000"/>
                <w:sz w:val="20"/>
              </w:rPr>
              <w:t>October 13,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By:</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/s/ CHRISTOPHER H.M. CHAN</w:t>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Christopher H.M. Chan</w:t>
            </w:r>
          </w:p>
        </w:tc>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Proxima Nova;sans-serif" w:hAnsi="Proxima Nova;sans-serif"/>
                <w:b w:val="false"/>
                <w:color w:val="000000"/>
                <w:sz w:val="20"/>
              </w:rPr>
            </w:pPr>
            <w:r>
              <w:rPr>
                <w:rFonts w:ascii="Proxima Nova;sans-serif" w:hAnsi="Proxima Nova;sans-serif"/>
                <w:b w:val="false"/>
                <w:color w:val="000000"/>
                <w:sz w:val="20"/>
              </w:rPr>
              <w:t>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02260"/>
                <wp:effectExtent l="0" t="0" r="0" b="0"/>
                <wp:wrapNone/>
                <wp:docPr id="4" name="Frame3"/>
                <a:graphic xmlns:a="http://schemas.openxmlformats.org/drawingml/2006/main">
                  <a:graphicData uri="http://schemas.microsoft.com/office/word/2010/wordprocessingShape">
                    <wps:wsp>
                      <wps:cNvSpPr txBox="1"/>
                      <wps:spPr>
                        <a:xfrm>
                          <a:off x="0" y="0"/>
                          <a:ext cx="6480175" cy="302260"/>
                        </a:xfrm>
                        <a:prstGeom prst="rect"/>
                        <a:solidFill>
                          <a:srgbClr val="FFFFFF"/>
                        </a:solidFill>
                      </wps:spPr>
                      <wps:txbx>
                        <w:txbxContent>
                          <w:p>
                            <w:pPr>
                              <w:pStyle w:val="TextBody"/>
                              <w:bidi w:val="0"/>
                              <w:spacing w:before="200" w:after="200"/>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00" w:after="200"/>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Proxima Nov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415</Words>
  <Characters>2351</Characters>
  <CharactersWithSpaces>2714</CharactersWithSpaces>
  <Paragraphs>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